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E3886">
      <w:pPr>
        <w:jc w:val="both"/>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p>
    <w:p w14:paraId="64B3BFFE">
      <w:pPr>
        <w:jc w:val="both"/>
        <w:rPr>
          <w:rFonts w:hint="eastAsia" w:ascii="仿宋_GB2312" w:hAnsi="仿宋_GB2312" w:eastAsia="仿宋_GB2312" w:cs="仿宋_GB2312"/>
          <w:sz w:val="32"/>
          <w:szCs w:val="32"/>
          <w:lang w:val="en-US" w:eastAsia="zh-CN"/>
        </w:rPr>
      </w:pPr>
    </w:p>
    <w:p w14:paraId="5AF27993">
      <w:pPr>
        <w:jc w:val="both"/>
        <w:rPr>
          <w:rFonts w:hint="eastAsia" w:ascii="仿宋_GB2312" w:hAnsi="仿宋_GB2312" w:eastAsia="仿宋_GB2312" w:cs="仿宋_GB2312"/>
          <w:sz w:val="32"/>
          <w:szCs w:val="32"/>
          <w:lang w:val="en-US" w:eastAsia="zh-CN"/>
        </w:rPr>
      </w:pPr>
    </w:p>
    <w:p w14:paraId="7F9F466D">
      <w:pPr>
        <w:jc w:val="both"/>
        <w:rPr>
          <w:rFonts w:hint="eastAsia" w:ascii="仿宋_GB2312" w:hAnsi="仿宋_GB2312" w:eastAsia="仿宋_GB2312" w:cs="仿宋_GB2312"/>
          <w:sz w:val="32"/>
          <w:szCs w:val="32"/>
          <w:lang w:val="en-US" w:eastAsia="zh-CN"/>
        </w:rPr>
      </w:pPr>
    </w:p>
    <w:p w14:paraId="1A9E724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default" w:ascii="方正公文小标宋" w:hAnsi="方正公文小标宋" w:eastAsia="方正公文小标宋" w:cs="方正公文小标宋"/>
          <w:b w:val="0"/>
          <w:bCs w:val="0"/>
          <w:color w:val="auto"/>
          <w:kern w:val="0"/>
          <w:sz w:val="44"/>
          <w:szCs w:val="44"/>
          <w:u w:val="none"/>
          <w:lang w:val="en-US" w:eastAsia="zh-CN" w:bidi="ar"/>
        </w:rPr>
      </w:pPr>
      <w:r>
        <w:rPr>
          <w:rFonts w:hint="default" w:ascii="方正公文小标宋" w:hAnsi="方正公文小标宋" w:eastAsia="方正公文小标宋" w:cs="方正公文小标宋"/>
          <w:b w:val="0"/>
          <w:bCs w:val="0"/>
          <w:color w:val="auto"/>
          <w:kern w:val="0"/>
          <w:sz w:val="44"/>
          <w:szCs w:val="44"/>
          <w:u w:val="none"/>
          <w:lang w:val="en-US" w:eastAsia="zh-CN" w:bidi="ar"/>
        </w:rPr>
        <w:t>智汇上庄·兴农筑梦</w:t>
      </w:r>
    </w:p>
    <w:p w14:paraId="271E4A7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default" w:ascii="方正公文小标宋" w:hAnsi="方正公文小标宋" w:eastAsia="方正公文小标宋" w:cs="方正公文小标宋"/>
          <w:b w:val="0"/>
          <w:bCs w:val="0"/>
          <w:kern w:val="0"/>
          <w:sz w:val="44"/>
          <w:szCs w:val="44"/>
          <w:u w:val="none"/>
        </w:rPr>
      </w:pPr>
      <w:r>
        <w:rPr>
          <w:rFonts w:hint="default" w:ascii="方正公文小标宋" w:hAnsi="方正公文小标宋" w:eastAsia="方正公文小标宋" w:cs="方正公文小标宋"/>
          <w:b w:val="0"/>
          <w:bCs w:val="0"/>
          <w:color w:val="auto"/>
          <w:kern w:val="0"/>
          <w:sz w:val="44"/>
          <w:szCs w:val="44"/>
          <w:u w:val="none"/>
        </w:rPr>
        <w:t>上庄镇</w:t>
      </w:r>
      <w:r>
        <w:rPr>
          <w:rFonts w:hint="default" w:ascii="方正公文小标宋" w:hAnsi="方正公文小标宋" w:eastAsia="方正公文小标宋" w:cs="方正公文小标宋"/>
          <w:b w:val="0"/>
          <w:bCs w:val="0"/>
          <w:color w:val="auto"/>
          <w:kern w:val="0"/>
          <w:sz w:val="44"/>
          <w:szCs w:val="44"/>
          <w:u w:val="none"/>
          <w:lang w:eastAsia="zh-CN"/>
        </w:rPr>
        <w:t>首届</w:t>
      </w:r>
      <w:r>
        <w:rPr>
          <w:rFonts w:hint="default" w:ascii="方正公文小标宋" w:hAnsi="方正公文小标宋" w:eastAsia="方正公文小标宋" w:cs="方正公文小标宋"/>
          <w:b w:val="0"/>
          <w:bCs w:val="0"/>
          <w:color w:val="auto"/>
          <w:kern w:val="0"/>
          <w:sz w:val="44"/>
          <w:szCs w:val="44"/>
          <w:u w:val="none"/>
        </w:rPr>
        <w:t>创新</w:t>
      </w:r>
      <w:r>
        <w:rPr>
          <w:rFonts w:hint="default" w:ascii="方正公文小标宋" w:hAnsi="方正公文小标宋" w:eastAsia="方正公文小标宋" w:cs="方正公文小标宋"/>
          <w:b w:val="0"/>
          <w:bCs w:val="0"/>
          <w:kern w:val="0"/>
          <w:sz w:val="44"/>
          <w:szCs w:val="44"/>
          <w:u w:val="none"/>
        </w:rPr>
        <w:t>创业大赛</w:t>
      </w:r>
    </w:p>
    <w:p w14:paraId="1F11CCE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公文小标宋" w:hAnsi="方正公文小标宋" w:eastAsia="方正公文小标宋" w:cs="方正公文小标宋"/>
          <w:b w:val="0"/>
          <w:bCs w:val="0"/>
          <w:kern w:val="0"/>
          <w:sz w:val="44"/>
          <w:szCs w:val="44"/>
          <w:u w:val="none"/>
        </w:rPr>
      </w:pPr>
    </w:p>
    <w:p w14:paraId="1A518CC5">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公文小标宋" w:hAnsi="方正公文小标宋" w:eastAsia="方正公文小标宋" w:cs="方正公文小标宋"/>
          <w:b w:val="0"/>
          <w:bCs w:val="0"/>
          <w:kern w:val="0"/>
          <w:sz w:val="44"/>
          <w:szCs w:val="44"/>
          <w:u w:val="none"/>
        </w:rPr>
      </w:pPr>
    </w:p>
    <w:p w14:paraId="1BE7CF4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公文小标宋" w:hAnsi="方正公文小标宋" w:eastAsia="方正公文小标宋" w:cs="方正公文小标宋"/>
          <w:b w:val="0"/>
          <w:bCs w:val="0"/>
          <w:kern w:val="0"/>
          <w:sz w:val="44"/>
          <w:szCs w:val="44"/>
          <w:u w:val="none"/>
        </w:rPr>
      </w:pPr>
    </w:p>
    <w:p w14:paraId="65AA3820">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公文小标宋" w:hAnsi="方正公文小标宋" w:eastAsia="方正公文小标宋" w:cs="方正公文小标宋"/>
          <w:b w:val="0"/>
          <w:bCs w:val="0"/>
          <w:kern w:val="0"/>
          <w:sz w:val="44"/>
          <w:szCs w:val="44"/>
          <w:u w:val="none"/>
        </w:rPr>
      </w:pPr>
    </w:p>
    <w:p w14:paraId="5EF741E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公文小标宋" w:hAnsi="方正公文小标宋" w:eastAsia="方正公文小标宋" w:cs="方正公文小标宋"/>
          <w:b w:val="0"/>
          <w:bCs w:val="0"/>
          <w:kern w:val="0"/>
          <w:sz w:val="44"/>
          <w:szCs w:val="44"/>
          <w:u w:val="none"/>
          <w:lang w:eastAsia="zh-CN"/>
        </w:rPr>
      </w:pPr>
      <w:r>
        <w:rPr>
          <w:rFonts w:hint="eastAsia" w:ascii="方正公文小标宋" w:hAnsi="方正公文小标宋" w:eastAsia="方正公文小标宋" w:cs="方正公文小标宋"/>
          <w:b w:val="0"/>
          <w:bCs w:val="0"/>
          <w:kern w:val="0"/>
          <w:sz w:val="44"/>
          <w:szCs w:val="44"/>
          <w:u w:val="none"/>
        </w:rPr>
        <w:t>企业出题</w:t>
      </w:r>
      <w:r>
        <w:rPr>
          <w:rFonts w:hint="eastAsia" w:ascii="方正公文小标宋" w:hAnsi="方正公文小标宋" w:eastAsia="方正公文小标宋" w:cs="方正公文小标宋"/>
          <w:b w:val="0"/>
          <w:bCs w:val="0"/>
          <w:kern w:val="0"/>
          <w:sz w:val="44"/>
          <w:szCs w:val="44"/>
          <w:u w:val="none"/>
          <w:lang w:eastAsia="zh-CN"/>
        </w:rPr>
        <w:t>清单</w:t>
      </w:r>
    </w:p>
    <w:p w14:paraId="6BF6379A">
      <w:pPr>
        <w:spacing w:after="100"/>
        <w:jc w:val="center"/>
        <w:rPr>
          <w:rFonts w:ascii="Times New Roman" w:hAnsi="Times New Roman" w:eastAsia="思源黑体" w:cs="Times New Roman"/>
          <w:b w:val="0"/>
          <w:bCs w:val="0"/>
          <w:color w:val="000000"/>
          <w:sz w:val="24"/>
          <w:szCs w:val="24"/>
        </w:rPr>
      </w:pPr>
    </w:p>
    <w:p w14:paraId="46A18363">
      <w:pPr>
        <w:spacing w:after="100"/>
        <w:jc w:val="center"/>
        <w:rPr>
          <w:rFonts w:ascii="Times New Roman" w:hAnsi="Times New Roman" w:eastAsia="思源黑体" w:cs="Times New Roman"/>
          <w:b w:val="0"/>
          <w:bCs w:val="0"/>
          <w:color w:val="000000"/>
          <w:sz w:val="24"/>
          <w:szCs w:val="24"/>
        </w:rPr>
      </w:pPr>
    </w:p>
    <w:p w14:paraId="57429AD6">
      <w:pPr>
        <w:spacing w:after="100"/>
        <w:jc w:val="center"/>
        <w:rPr>
          <w:rFonts w:ascii="Times New Roman" w:hAnsi="Times New Roman" w:eastAsia="思源黑体" w:cs="Times New Roman"/>
          <w:b w:val="0"/>
          <w:bCs w:val="0"/>
          <w:color w:val="000000"/>
          <w:sz w:val="24"/>
          <w:szCs w:val="24"/>
        </w:rPr>
      </w:pPr>
    </w:p>
    <w:p w14:paraId="6A28F3F5">
      <w:pPr>
        <w:spacing w:after="100"/>
        <w:jc w:val="center"/>
        <w:rPr>
          <w:rFonts w:ascii="Times New Roman" w:hAnsi="Times New Roman" w:eastAsia="思源黑体" w:cs="Times New Roman"/>
          <w:b w:val="0"/>
          <w:bCs w:val="0"/>
          <w:color w:val="000000"/>
          <w:sz w:val="24"/>
          <w:szCs w:val="24"/>
        </w:rPr>
      </w:pPr>
    </w:p>
    <w:p w14:paraId="215F2FBF">
      <w:pPr>
        <w:spacing w:after="100"/>
        <w:jc w:val="center"/>
        <w:rPr>
          <w:rFonts w:ascii="Times New Roman" w:hAnsi="Times New Roman" w:eastAsia="思源黑体" w:cs="Times New Roman"/>
          <w:b w:val="0"/>
          <w:bCs w:val="0"/>
          <w:color w:val="000000"/>
          <w:sz w:val="24"/>
          <w:szCs w:val="24"/>
        </w:rPr>
      </w:pPr>
    </w:p>
    <w:p w14:paraId="6AA9AFF3">
      <w:pPr>
        <w:spacing w:after="100"/>
        <w:jc w:val="center"/>
        <w:rPr>
          <w:rFonts w:ascii="Times New Roman" w:hAnsi="Times New Roman" w:eastAsia="思源黑体" w:cs="Times New Roman"/>
          <w:b w:val="0"/>
          <w:bCs w:val="0"/>
          <w:color w:val="000000"/>
          <w:sz w:val="24"/>
          <w:szCs w:val="24"/>
        </w:rPr>
      </w:pPr>
    </w:p>
    <w:p w14:paraId="3C7E9F1B">
      <w:pPr>
        <w:spacing w:after="100"/>
        <w:jc w:val="center"/>
        <w:rPr>
          <w:rFonts w:ascii="Times New Roman" w:hAnsi="Times New Roman" w:eastAsia="思源黑体" w:cs="Times New Roman"/>
          <w:b w:val="0"/>
          <w:bCs w:val="0"/>
          <w:color w:val="000000"/>
          <w:sz w:val="24"/>
          <w:szCs w:val="24"/>
        </w:rPr>
      </w:pPr>
    </w:p>
    <w:p w14:paraId="040FA6A6">
      <w:pPr>
        <w:spacing w:after="100"/>
        <w:jc w:val="center"/>
        <w:rPr>
          <w:rFonts w:ascii="Times New Roman" w:hAnsi="Times New Roman" w:eastAsia="思源黑体" w:cs="Times New Roman"/>
          <w:b w:val="0"/>
          <w:bCs w:val="0"/>
          <w:color w:val="000000"/>
          <w:sz w:val="24"/>
          <w:szCs w:val="24"/>
        </w:rPr>
      </w:pPr>
    </w:p>
    <w:p w14:paraId="1C00CC54">
      <w:pPr>
        <w:spacing w:after="100"/>
        <w:jc w:val="center"/>
        <w:rPr>
          <w:rFonts w:ascii="Times New Roman" w:hAnsi="Times New Roman" w:eastAsia="思源黑体" w:cs="Times New Roman"/>
          <w:b w:val="0"/>
          <w:bCs w:val="0"/>
          <w:color w:val="000000"/>
          <w:sz w:val="24"/>
          <w:szCs w:val="24"/>
        </w:rPr>
      </w:pPr>
    </w:p>
    <w:p w14:paraId="23DDC6EE">
      <w:pPr>
        <w:spacing w:after="100"/>
        <w:jc w:val="center"/>
        <w:rPr>
          <w:rFonts w:ascii="Times New Roman" w:hAnsi="Times New Roman" w:eastAsia="思源黑体" w:cs="Times New Roman"/>
          <w:b w:val="0"/>
          <w:bCs w:val="0"/>
          <w:color w:val="000000"/>
          <w:sz w:val="24"/>
          <w:szCs w:val="24"/>
        </w:rPr>
      </w:pPr>
    </w:p>
    <w:p w14:paraId="44D38FD7">
      <w:pPr>
        <w:ind w:firstLine="3614" w:firstLineChars="1500"/>
        <w:jc w:val="both"/>
        <w:rPr>
          <w:rFonts w:hint="eastAsia" w:ascii="仿宋_GB2312" w:hAnsi="仿宋_GB2312" w:eastAsia="仿宋_GB2312" w:cs="仿宋_GB2312"/>
          <w:b/>
          <w:bCs/>
        </w:rPr>
      </w:pPr>
      <w:r>
        <w:rPr>
          <w:rFonts w:hint="eastAsia" w:ascii="仿宋_GB2312" w:hAnsi="仿宋_GB2312" w:eastAsia="仿宋_GB2312" w:cs="仿宋_GB2312"/>
          <w:b/>
          <w:bCs/>
          <w:color w:val="000000"/>
          <w:sz w:val="24"/>
          <w:szCs w:val="24"/>
          <w:lang w:val="en-US" w:eastAsia="zh-CN"/>
        </w:rPr>
        <w:t>2026年9月</w:t>
      </w:r>
      <w:r>
        <w:rPr>
          <w:rFonts w:hint="eastAsia" w:ascii="仿宋_GB2312" w:hAnsi="仿宋_GB2312" w:eastAsia="仿宋_GB2312" w:cs="仿宋_GB2312"/>
          <w:b/>
          <w:bCs/>
        </w:rPr>
        <w:br w:type="page"/>
      </w:r>
    </w:p>
    <w:p w14:paraId="4F8A478B">
      <w:pPr>
        <w:jc w:val="center"/>
        <w:rPr>
          <w:rFonts w:hint="eastAsia" w:ascii="黑体" w:hAnsi="黑体" w:eastAsia="黑体" w:cs="黑体"/>
          <w:b w:val="0"/>
          <w:bCs/>
          <w:color w:val="auto"/>
          <w:kern w:val="0"/>
          <w:sz w:val="32"/>
          <w:szCs w:val="32"/>
          <w:u w:val="none"/>
          <w:lang w:val="en-US" w:eastAsia="zh-CN" w:bidi="ar"/>
        </w:rPr>
      </w:pPr>
      <w:r>
        <w:rPr>
          <w:rFonts w:hint="eastAsia" w:ascii="黑体" w:hAnsi="黑体" w:eastAsia="黑体" w:cs="黑体"/>
          <w:b w:val="0"/>
          <w:bCs/>
          <w:color w:val="auto"/>
          <w:kern w:val="0"/>
          <w:sz w:val="32"/>
          <w:szCs w:val="32"/>
          <w:u w:val="none"/>
          <w:lang w:val="en-US" w:eastAsia="zh-CN" w:bidi="ar"/>
        </w:rPr>
        <w:t>清单说明</w:t>
      </w:r>
    </w:p>
    <w:p w14:paraId="7CF487F0">
      <w:pPr>
        <w:jc w:val="center"/>
        <w:rPr>
          <w:rFonts w:hint="eastAsia" w:ascii="黑体" w:hAnsi="黑体" w:eastAsia="黑体" w:cs="黑体"/>
          <w:b w:val="0"/>
          <w:bCs/>
          <w:color w:val="auto"/>
          <w:kern w:val="0"/>
          <w:sz w:val="32"/>
          <w:szCs w:val="32"/>
          <w:u w:val="none"/>
          <w:lang w:val="en-US" w:eastAsia="zh-CN" w:bidi="ar"/>
        </w:rPr>
      </w:pPr>
    </w:p>
    <w:p w14:paraId="503AF9D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highlight w:val="none"/>
        </w:rPr>
      </w:pPr>
      <w:r>
        <w:rPr>
          <w:rFonts w:hint="eastAsia" w:ascii="仿宋_GB2312" w:eastAsia="仿宋_GB2312" w:cs="Times New Roman"/>
          <w:b w:val="0"/>
          <w:i w:val="0"/>
          <w:strike w:val="0"/>
          <w:color w:val="auto"/>
          <w:kern w:val="0"/>
          <w:sz w:val="32"/>
          <w:szCs w:val="20"/>
          <w:highlight w:val="none"/>
          <w:u w:val="none"/>
          <w:lang w:val="en-US" w:eastAsia="zh-CN" w:bidi="ar-SA"/>
        </w:rPr>
        <w:t>为</w:t>
      </w:r>
      <w:r>
        <w:rPr>
          <w:rFonts w:hint="eastAsia" w:ascii="仿宋_GB2312" w:eastAsia="仿宋_GB2312"/>
          <w:color w:val="auto"/>
          <w:kern w:val="0"/>
          <w:sz w:val="32"/>
          <w:szCs w:val="20"/>
          <w:highlight w:val="none"/>
          <w:u w:val="none"/>
        </w:rPr>
        <w:t>推动科技创新和产业创新深度融合</w:t>
      </w:r>
      <w:r>
        <w:rPr>
          <w:rFonts w:hint="eastAsia" w:ascii="仿宋_GB2312" w:eastAsia="仿宋_GB2312"/>
          <w:color w:val="auto"/>
          <w:kern w:val="0"/>
          <w:sz w:val="32"/>
          <w:szCs w:val="20"/>
          <w:highlight w:val="none"/>
          <w:u w:val="none"/>
          <w:lang w:eastAsia="zh-CN"/>
        </w:rPr>
        <w:t>，</w:t>
      </w:r>
      <w:r>
        <w:rPr>
          <w:rFonts w:hint="eastAsia" w:ascii="仿宋_GB2312" w:eastAsia="仿宋_GB2312"/>
          <w:color w:val="auto"/>
          <w:kern w:val="0"/>
          <w:sz w:val="32"/>
          <w:szCs w:val="20"/>
          <w:highlight w:val="none"/>
          <w:u w:val="none"/>
        </w:rPr>
        <w:t>加强企业主导的产学研融通创新</w:t>
      </w:r>
      <w:r>
        <w:rPr>
          <w:rFonts w:hint="eastAsia" w:ascii="仿宋_GB2312" w:eastAsia="仿宋_GB2312"/>
          <w:color w:val="auto"/>
          <w:kern w:val="0"/>
          <w:sz w:val="32"/>
          <w:szCs w:val="20"/>
          <w:highlight w:val="none"/>
          <w:u w:val="none"/>
          <w:lang w:eastAsia="zh-CN"/>
        </w:rPr>
        <w:t>，</w:t>
      </w:r>
      <w:r>
        <w:rPr>
          <w:rFonts w:hint="eastAsia" w:ascii="仿宋_GB2312" w:eastAsia="仿宋_GB2312"/>
          <w:color w:val="auto"/>
          <w:kern w:val="0"/>
          <w:sz w:val="32"/>
          <w:szCs w:val="20"/>
          <w:highlight w:val="none"/>
          <w:u w:val="none"/>
        </w:rPr>
        <w:t>推动创新资源向企业集聚</w:t>
      </w:r>
      <w:r>
        <w:rPr>
          <w:rFonts w:hint="eastAsia" w:ascii="仿宋_GB2312" w:eastAsia="仿宋_GB2312"/>
          <w:color w:val="auto"/>
          <w:kern w:val="0"/>
          <w:sz w:val="32"/>
          <w:szCs w:val="20"/>
          <w:highlight w:val="none"/>
          <w:u w:val="none"/>
          <w:lang w:eastAsia="zh-CN"/>
        </w:rPr>
        <w:t>，</w:t>
      </w:r>
      <w:r>
        <w:rPr>
          <w:rFonts w:hint="eastAsia" w:ascii="仿宋_GB2312" w:eastAsia="仿宋_GB2312"/>
          <w:color w:val="auto"/>
          <w:kern w:val="0"/>
          <w:sz w:val="32"/>
          <w:szCs w:val="20"/>
          <w:highlight w:val="none"/>
          <w:u w:val="none"/>
        </w:rPr>
        <w:t>促进创新链、产业链、资金链、人才链深度融合</w:t>
      </w:r>
      <w:r>
        <w:rPr>
          <w:rFonts w:hint="eastAsia" w:ascii="仿宋_GB2312" w:eastAsia="仿宋_GB2312"/>
          <w:color w:val="auto"/>
          <w:kern w:val="0"/>
          <w:sz w:val="32"/>
          <w:szCs w:val="20"/>
          <w:highlight w:val="none"/>
          <w:u w:val="none"/>
          <w:lang w:eastAsia="zh-CN"/>
        </w:rPr>
        <w:t>，</w:t>
      </w:r>
      <w:r>
        <w:rPr>
          <w:rFonts w:ascii="仿宋_GB2312" w:hAnsi="Calibri" w:eastAsia="仿宋_GB2312" w:cs="Times New Roman"/>
          <w:b w:val="0"/>
          <w:i w:val="0"/>
          <w:strike w:val="0"/>
          <w:color w:val="auto"/>
          <w:kern w:val="0"/>
          <w:sz w:val="32"/>
          <w:szCs w:val="20"/>
          <w:highlight w:val="none"/>
          <w:u w:val="none"/>
          <w:lang w:val="en-US" w:eastAsia="zh-CN" w:bidi="ar-SA"/>
        </w:rPr>
        <w:t>上庄镇首届创新创业大赛</w:t>
      </w:r>
      <w:r>
        <w:rPr>
          <w:rFonts w:hint="eastAsia" w:ascii="仿宋_GB2312" w:eastAsia="仿宋_GB2312" w:cs="Times New Roman"/>
          <w:b w:val="0"/>
          <w:i w:val="0"/>
          <w:strike w:val="0"/>
          <w:color w:val="auto"/>
          <w:kern w:val="0"/>
          <w:sz w:val="32"/>
          <w:szCs w:val="20"/>
          <w:highlight w:val="none"/>
          <w:u w:val="none"/>
          <w:lang w:val="en-US" w:eastAsia="zh-CN" w:bidi="ar-SA"/>
        </w:rPr>
        <w:t>以“</w:t>
      </w:r>
      <w:r>
        <w:rPr>
          <w:rFonts w:ascii="仿宋_GB2312" w:hAnsi="Calibri" w:eastAsia="仿宋_GB2312" w:cs="Times New Roman"/>
          <w:b w:val="0"/>
          <w:i w:val="0"/>
          <w:strike w:val="0"/>
          <w:color w:val="auto"/>
          <w:kern w:val="0"/>
          <w:sz w:val="32"/>
          <w:szCs w:val="20"/>
          <w:highlight w:val="none"/>
          <w:u w:val="none"/>
          <w:lang w:val="en-US" w:eastAsia="zh-CN" w:bidi="ar-SA"/>
        </w:rPr>
        <w:t>企业出题、院校答题</w:t>
      </w:r>
      <w:r>
        <w:rPr>
          <w:rFonts w:hint="eastAsia" w:ascii="仿宋_GB2312" w:eastAsia="仿宋_GB2312" w:cs="Times New Roman"/>
          <w:b w:val="0"/>
          <w:i w:val="0"/>
          <w:strike w:val="0"/>
          <w:color w:val="auto"/>
          <w:kern w:val="0"/>
          <w:sz w:val="32"/>
          <w:szCs w:val="20"/>
          <w:highlight w:val="none"/>
          <w:u w:val="none"/>
          <w:lang w:val="en-US" w:eastAsia="zh-CN" w:bidi="ar-SA"/>
        </w:rPr>
        <w:t>”为办赛理念，围绕辖区企业发展痛点、难点，结合人才论坛主题，</w:t>
      </w:r>
      <w:r>
        <w:rPr>
          <w:rFonts w:ascii="仿宋_GB2312" w:hAnsi="Calibri" w:eastAsia="仿宋_GB2312" w:cs="Times New Roman"/>
          <w:b w:val="0"/>
          <w:i w:val="0"/>
          <w:strike w:val="0"/>
          <w:color w:val="auto"/>
          <w:kern w:val="0"/>
          <w:sz w:val="32"/>
          <w:szCs w:val="20"/>
          <w:highlight w:val="none"/>
          <w:u w:val="none"/>
          <w:lang w:val="en-US" w:eastAsia="zh-CN" w:bidi="ar-SA"/>
        </w:rPr>
        <w:t>广泛征集</w:t>
      </w:r>
      <w:r>
        <w:rPr>
          <w:rFonts w:hint="eastAsia" w:ascii="仿宋_GB2312" w:eastAsia="仿宋_GB2312" w:cs="Times New Roman"/>
          <w:b w:val="0"/>
          <w:i w:val="0"/>
          <w:strike w:val="0"/>
          <w:color w:val="auto"/>
          <w:kern w:val="0"/>
          <w:sz w:val="32"/>
          <w:szCs w:val="20"/>
          <w:highlight w:val="none"/>
          <w:u w:val="none"/>
          <w:lang w:val="en-US" w:eastAsia="zh-CN" w:bidi="ar-SA"/>
        </w:rPr>
        <w:t>企业面临</w:t>
      </w:r>
      <w:r>
        <w:rPr>
          <w:rFonts w:ascii="仿宋_GB2312" w:hAnsi="Calibri" w:eastAsia="仿宋_GB2312" w:cs="Times New Roman"/>
          <w:b w:val="0"/>
          <w:i w:val="0"/>
          <w:strike w:val="0"/>
          <w:color w:val="auto"/>
          <w:kern w:val="0"/>
          <w:sz w:val="32"/>
          <w:szCs w:val="20"/>
          <w:highlight w:val="none"/>
          <w:u w:val="none"/>
          <w:lang w:val="en-US" w:eastAsia="zh-CN" w:bidi="ar-SA"/>
        </w:rPr>
        <w:t>真实技术难题、运营瓶颈及创新发展需求，梳理形成本次大赛《企业出题</w:t>
      </w:r>
      <w:r>
        <w:rPr>
          <w:rFonts w:hint="eastAsia" w:ascii="仿宋_GB2312" w:hAnsi="Calibri" w:eastAsia="仿宋_GB2312" w:cs="Times New Roman"/>
          <w:b w:val="0"/>
          <w:i w:val="0"/>
          <w:strike w:val="0"/>
          <w:color w:val="auto"/>
          <w:kern w:val="0"/>
          <w:sz w:val="32"/>
          <w:szCs w:val="20"/>
          <w:highlight w:val="none"/>
          <w:u w:val="none"/>
          <w:lang w:val="en-US" w:eastAsia="zh-CN" w:bidi="ar-SA"/>
        </w:rPr>
        <w:t>清单</w:t>
      </w:r>
      <w:r>
        <w:rPr>
          <w:rFonts w:ascii="仿宋_GB2312" w:hAnsi="Calibri" w:eastAsia="仿宋_GB2312" w:cs="Times New Roman"/>
          <w:b w:val="0"/>
          <w:i w:val="0"/>
          <w:strike w:val="0"/>
          <w:color w:val="auto"/>
          <w:kern w:val="0"/>
          <w:sz w:val="32"/>
          <w:szCs w:val="20"/>
          <w:highlight w:val="none"/>
          <w:u w:val="none"/>
          <w:lang w:val="en-US" w:eastAsia="zh-CN" w:bidi="ar-SA"/>
        </w:rPr>
        <w:t>》，</w:t>
      </w:r>
      <w:r>
        <w:rPr>
          <w:rFonts w:hint="eastAsia" w:ascii="仿宋_GB2312" w:eastAsia="仿宋_GB2312" w:cs="Times New Roman"/>
          <w:b w:val="0"/>
          <w:i w:val="0"/>
          <w:strike w:val="0"/>
          <w:color w:val="auto"/>
          <w:kern w:val="0"/>
          <w:sz w:val="32"/>
          <w:szCs w:val="20"/>
          <w:highlight w:val="none"/>
          <w:u w:val="none"/>
          <w:lang w:val="en-US" w:eastAsia="zh-CN" w:bidi="ar-SA"/>
        </w:rPr>
        <w:t>面向院校学生征集解决方案、科研成果，形成作品参赛，建立</w:t>
      </w:r>
      <w:r>
        <w:rPr>
          <w:rFonts w:ascii="仿宋_GB2312" w:hAnsi="Calibri" w:eastAsia="仿宋_GB2312" w:cs="Times New Roman"/>
          <w:b w:val="0"/>
          <w:i w:val="0"/>
          <w:strike w:val="0"/>
          <w:color w:val="auto"/>
          <w:kern w:val="0"/>
          <w:sz w:val="32"/>
          <w:szCs w:val="20"/>
          <w:highlight w:val="none"/>
          <w:u w:val="none"/>
          <w:lang w:val="en-US" w:eastAsia="zh-CN" w:bidi="ar-SA"/>
        </w:rPr>
        <w:t>政校企地协同核心工作机制，精准对接属地产业发展痛点与高校科创资源</w:t>
      </w:r>
      <w:r>
        <w:rPr>
          <w:rFonts w:hint="eastAsia" w:ascii="仿宋_GB2312" w:eastAsia="仿宋_GB2312" w:cs="Times New Roman"/>
          <w:b w:val="0"/>
          <w:i w:val="0"/>
          <w:strike w:val="0"/>
          <w:color w:val="auto"/>
          <w:kern w:val="0"/>
          <w:sz w:val="32"/>
          <w:szCs w:val="20"/>
          <w:highlight w:val="none"/>
          <w:u w:val="none"/>
          <w:lang w:val="en-US" w:eastAsia="zh-CN" w:bidi="ar-SA"/>
        </w:rPr>
        <w:t>。</w:t>
      </w:r>
    </w:p>
    <w:p w14:paraId="49DEBF69">
      <w:pPr>
        <w:keepNext w:val="0"/>
        <w:keepLines w:val="0"/>
        <w:widowControl/>
        <w:suppressLineNumbers w:val="0"/>
        <w:jc w:val="both"/>
      </w:pPr>
    </w:p>
    <w:p w14:paraId="37C0A0B2">
      <w:pPr>
        <w:keepNext w:val="0"/>
        <w:keepLines w:val="0"/>
        <w:widowControl/>
        <w:suppressLineNumbers w:val="0"/>
        <w:jc w:val="left"/>
        <w:rPr>
          <w:rFonts w:ascii="宋体" w:hAnsi="宋体" w:eastAsia="宋体" w:cs="宋体"/>
          <w:kern w:val="0"/>
          <w:sz w:val="24"/>
          <w:szCs w:val="24"/>
          <w:lang w:val="en-US" w:eastAsia="zh-CN" w:bidi="ar"/>
        </w:rPr>
      </w:pPr>
    </w:p>
    <w:p w14:paraId="0C25C84D">
      <w:pPr>
        <w:keepNext w:val="0"/>
        <w:keepLines w:val="0"/>
        <w:widowControl/>
        <w:suppressLineNumbers w:val="0"/>
        <w:jc w:val="left"/>
        <w:rPr>
          <w:rFonts w:ascii="宋体" w:hAnsi="宋体" w:eastAsia="宋体" w:cs="宋体"/>
          <w:kern w:val="0"/>
          <w:sz w:val="24"/>
          <w:szCs w:val="24"/>
          <w:lang w:val="en-US" w:eastAsia="zh-CN" w:bidi="ar"/>
        </w:rPr>
      </w:pPr>
    </w:p>
    <w:p w14:paraId="407C6939">
      <w:pPr>
        <w:keepNext w:val="0"/>
        <w:keepLines w:val="0"/>
        <w:widowControl/>
        <w:suppressLineNumbers w:val="0"/>
        <w:jc w:val="left"/>
        <w:rPr>
          <w:rFonts w:ascii="宋体" w:hAnsi="宋体" w:eastAsia="宋体" w:cs="宋体"/>
          <w:kern w:val="0"/>
          <w:sz w:val="24"/>
          <w:szCs w:val="24"/>
          <w:lang w:val="en-US" w:eastAsia="zh-CN" w:bidi="ar"/>
        </w:rPr>
      </w:pPr>
    </w:p>
    <w:p w14:paraId="029DBA5B">
      <w:pPr>
        <w:keepNext w:val="0"/>
        <w:keepLines w:val="0"/>
        <w:widowControl/>
        <w:suppressLineNumbers w:val="0"/>
        <w:jc w:val="left"/>
        <w:rPr>
          <w:rFonts w:ascii="宋体" w:hAnsi="宋体" w:eastAsia="宋体" w:cs="宋体"/>
          <w:kern w:val="0"/>
          <w:sz w:val="24"/>
          <w:szCs w:val="24"/>
          <w:lang w:val="en-US" w:eastAsia="zh-CN" w:bidi="ar"/>
        </w:rPr>
      </w:pPr>
    </w:p>
    <w:p w14:paraId="1055854E">
      <w:pPr>
        <w:keepNext w:val="0"/>
        <w:keepLines w:val="0"/>
        <w:widowControl/>
        <w:suppressLineNumbers w:val="0"/>
        <w:jc w:val="left"/>
        <w:rPr>
          <w:rFonts w:ascii="宋体" w:hAnsi="宋体" w:eastAsia="宋体" w:cs="宋体"/>
          <w:kern w:val="0"/>
          <w:sz w:val="24"/>
          <w:szCs w:val="24"/>
          <w:lang w:val="en-US" w:eastAsia="zh-CN" w:bidi="ar"/>
        </w:rPr>
      </w:pPr>
    </w:p>
    <w:p w14:paraId="7BB4812C">
      <w:pPr>
        <w:keepNext w:val="0"/>
        <w:keepLines w:val="0"/>
        <w:widowControl/>
        <w:suppressLineNumbers w:val="0"/>
        <w:jc w:val="left"/>
        <w:rPr>
          <w:rFonts w:ascii="宋体" w:hAnsi="宋体" w:eastAsia="宋体" w:cs="宋体"/>
          <w:kern w:val="0"/>
          <w:sz w:val="24"/>
          <w:szCs w:val="24"/>
          <w:lang w:val="en-US" w:eastAsia="zh-CN" w:bidi="ar"/>
        </w:rPr>
      </w:pPr>
    </w:p>
    <w:p w14:paraId="4DC8A87B">
      <w:pPr>
        <w:keepNext w:val="0"/>
        <w:keepLines w:val="0"/>
        <w:widowControl/>
        <w:suppressLineNumbers w:val="0"/>
        <w:jc w:val="left"/>
        <w:rPr>
          <w:rFonts w:ascii="宋体" w:hAnsi="宋体" w:eastAsia="宋体" w:cs="宋体"/>
          <w:kern w:val="0"/>
          <w:sz w:val="24"/>
          <w:szCs w:val="24"/>
          <w:lang w:val="en-US" w:eastAsia="zh-CN" w:bidi="ar"/>
        </w:rPr>
      </w:pPr>
    </w:p>
    <w:p w14:paraId="0FFD5242">
      <w:pPr>
        <w:keepNext w:val="0"/>
        <w:keepLines w:val="0"/>
        <w:widowControl/>
        <w:suppressLineNumbers w:val="0"/>
        <w:jc w:val="left"/>
        <w:rPr>
          <w:rFonts w:ascii="宋体" w:hAnsi="宋体" w:eastAsia="宋体" w:cs="宋体"/>
          <w:kern w:val="0"/>
          <w:sz w:val="24"/>
          <w:szCs w:val="24"/>
          <w:lang w:val="en-US" w:eastAsia="zh-CN" w:bidi="ar"/>
        </w:rPr>
      </w:pPr>
    </w:p>
    <w:p w14:paraId="577AF108">
      <w:pPr>
        <w:keepNext w:val="0"/>
        <w:keepLines w:val="0"/>
        <w:widowControl/>
        <w:suppressLineNumbers w:val="0"/>
        <w:jc w:val="left"/>
        <w:rPr>
          <w:rFonts w:ascii="宋体" w:hAnsi="宋体" w:eastAsia="宋体" w:cs="宋体"/>
          <w:kern w:val="0"/>
          <w:sz w:val="24"/>
          <w:szCs w:val="24"/>
          <w:lang w:val="en-US" w:eastAsia="zh-CN" w:bidi="ar"/>
        </w:rPr>
      </w:pPr>
    </w:p>
    <w:p w14:paraId="7F1EFBC3">
      <w:pPr>
        <w:keepNext w:val="0"/>
        <w:keepLines w:val="0"/>
        <w:pageBreakBefore w:val="0"/>
        <w:widowControl/>
        <w:suppressLineNumbers w:val="0"/>
        <w:kinsoku/>
        <w:wordWrap/>
        <w:overflowPunct w:val="0"/>
        <w:topLinePunct/>
        <w:autoSpaceDE/>
        <w:autoSpaceDN/>
        <w:bidi w:val="0"/>
        <w:adjustRightInd/>
        <w:snapToGrid/>
        <w:spacing w:beforeAutospacing="0" w:afterAutospacing="0" w:line="560" w:lineRule="exact"/>
        <w:ind w:firstLine="640" w:firstLineChars="200"/>
        <w:jc w:val="both"/>
        <w:textAlignment w:val="auto"/>
        <w:rPr>
          <w:rFonts w:ascii="仿宋_GB2312" w:hAnsi="Calibri" w:eastAsia="仿宋_GB2312" w:cs="Times New Roman"/>
          <w:b w:val="0"/>
          <w:i w:val="0"/>
          <w:strike w:val="0"/>
          <w:color w:val="auto"/>
          <w:kern w:val="0"/>
          <w:sz w:val="32"/>
          <w:szCs w:val="20"/>
          <w:u w:val="none"/>
          <w:lang w:val="en-US" w:eastAsia="zh-CN" w:bidi="ar-SA"/>
        </w:rPr>
      </w:pPr>
    </w:p>
    <w:p w14:paraId="139818B3">
      <w:pPr>
        <w:keepNext w:val="0"/>
        <w:keepLines w:val="0"/>
        <w:pageBreakBefore w:val="0"/>
        <w:widowControl/>
        <w:suppressLineNumbers w:val="0"/>
        <w:kinsoku/>
        <w:wordWrap/>
        <w:overflowPunct w:val="0"/>
        <w:topLinePunct/>
        <w:autoSpaceDE/>
        <w:autoSpaceDN/>
        <w:bidi w:val="0"/>
        <w:adjustRightInd/>
        <w:snapToGrid/>
        <w:spacing w:beforeAutospacing="0" w:afterAutospacing="0" w:line="560" w:lineRule="exact"/>
        <w:jc w:val="both"/>
        <w:textAlignment w:val="auto"/>
        <w:rPr>
          <w:rFonts w:hint="eastAsia" w:ascii="方正小标宋简体" w:hAnsi="方正小标宋简体" w:eastAsia="方正小标宋简体" w:cs="方正小标宋简体"/>
          <w:b w:val="0"/>
          <w:bCs w:val="0"/>
          <w:color w:val="000000"/>
          <w:sz w:val="44"/>
          <w:szCs w:val="44"/>
        </w:rPr>
      </w:pPr>
    </w:p>
    <w:p w14:paraId="1CCCC969">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选题01京西稻农业文化遗产</w:t>
      </w:r>
      <w:r>
        <w:rPr>
          <w:rFonts w:hint="eastAsia" w:ascii="方正小标宋简体" w:hAnsi="方正小标宋简体" w:eastAsia="方正小标宋简体" w:cs="方正小标宋简体"/>
          <w:b w:val="0"/>
          <w:bCs w:val="0"/>
          <w:color w:val="000000"/>
          <w:sz w:val="44"/>
          <w:szCs w:val="44"/>
          <w:lang w:eastAsia="zh-CN"/>
        </w:rPr>
        <w:t>模拟</w:t>
      </w:r>
      <w:r>
        <w:rPr>
          <w:rFonts w:hint="eastAsia" w:ascii="方正小标宋简体" w:hAnsi="方正小标宋简体" w:eastAsia="方正小标宋简体" w:cs="方正小标宋简体"/>
          <w:b w:val="0"/>
          <w:bCs w:val="0"/>
          <w:color w:val="000000"/>
          <w:sz w:val="44"/>
          <w:szCs w:val="44"/>
        </w:rPr>
        <w:t>经营游戏App</w:t>
      </w:r>
    </w:p>
    <w:p w14:paraId="16DEBCD5">
      <w:pPr>
        <w:pStyle w:val="2"/>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一、单位信息</w:t>
      </w:r>
    </w:p>
    <w:tbl>
      <w:tblPr>
        <w:tblStyle w:val="9"/>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8"/>
        <w:gridCol w:w="246"/>
        <w:gridCol w:w="2354"/>
        <w:gridCol w:w="2354"/>
        <w:gridCol w:w="2357"/>
      </w:tblGrid>
      <w:tr w14:paraId="541E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6C169221">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单位名称</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5174E3D7">
            <w:pPr>
              <w:spacing w:before="20" w:after="60" w:line="300" w:lineRule="auto"/>
              <w:ind w:firstLine="840" w:firstLineChars="3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上庄联拓农业科技发展（北京）有限公司</w:t>
            </w:r>
          </w:p>
        </w:tc>
      </w:tr>
      <w:tr w14:paraId="1706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1D99EE4C">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地址</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204D3C91">
            <w:pPr>
              <w:spacing w:before="20" w:after="60" w:line="300" w:lineRule="auto"/>
              <w:ind w:firstLine="1960" w:firstLineChars="7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北京市海淀区上庄镇</w:t>
            </w:r>
          </w:p>
        </w:tc>
      </w:tr>
      <w:tr w14:paraId="1911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19" w:type="dxa"/>
            <w:gridSpan w:val="5"/>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18554BC6">
            <w:pPr>
              <w:spacing w:before="20" w:after="20" w:line="300" w:lineRule="auto"/>
              <w:jc w:val="left"/>
            </w:pPr>
            <w:r>
              <w:rPr>
                <w:rFonts w:hint="eastAsia" w:ascii="仿宋_GB2312" w:hAnsi="Calibri" w:eastAsia="仿宋_GB2312" w:cs="Times New Roman"/>
                <w:b/>
                <w:bCs/>
                <w:i w:val="0"/>
                <w:strike w:val="0"/>
                <w:color w:val="auto"/>
                <w:kern w:val="0"/>
                <w:sz w:val="28"/>
                <w:szCs w:val="28"/>
                <w:u w:val="none"/>
                <w:lang w:val="en-US" w:eastAsia="zh-CN" w:bidi="ar-SA"/>
              </w:rPr>
              <w:t>企业简介：</w:t>
            </w:r>
            <w:r>
              <w:rPr>
                <w:rFonts w:ascii="仿宋_GB2312" w:hAnsi="Calibri" w:eastAsia="仿宋_GB2312" w:cs="Times New Roman"/>
                <w:b w:val="0"/>
                <w:i w:val="0"/>
                <w:strike w:val="0"/>
                <w:color w:val="auto"/>
                <w:kern w:val="0"/>
                <w:sz w:val="28"/>
                <w:szCs w:val="28"/>
                <w:u w:val="none"/>
                <w:lang w:val="en-US" w:eastAsia="zh-CN" w:bidi="ar-SA"/>
              </w:rPr>
              <w:t>上庄联拓农业科技发展（北京）有限公司是上庄镇集体经济二级企业，围绕京西稻农业文化遗产保护传承与一二三产融合发展，开展品牌运营、文创开发、农文旅活动策划与园区运营等业务，是本次大赛联合体协助单位与主要出题方之一。</w:t>
            </w:r>
          </w:p>
        </w:tc>
      </w:tr>
      <w:tr w14:paraId="7D90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354"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2A0A225D">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联系人：</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72058DC6">
            <w:pPr>
              <w:spacing w:before="20" w:after="20" w:line="300" w:lineRule="auto"/>
              <w:jc w:val="center"/>
              <w:rPr>
                <w:rFonts w:hint="default"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夏</w:t>
            </w:r>
            <w:r>
              <w:rPr>
                <w:rFonts w:hint="eastAsia" w:ascii="仿宋_GB2312" w:eastAsia="仿宋_GB2312" w:cs="Times New Roman"/>
                <w:b w:val="0"/>
                <w:bCs w:val="0"/>
                <w:i w:val="0"/>
                <w:strike w:val="0"/>
                <w:color w:val="auto"/>
                <w:kern w:val="0"/>
                <w:sz w:val="28"/>
                <w:szCs w:val="28"/>
                <w:u w:val="none"/>
                <w:lang w:val="en-US" w:eastAsia="zh-CN" w:bidi="ar-SA"/>
              </w:rPr>
              <w:t>海威</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5D1B7CDB">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联系方式：</w:t>
            </w:r>
          </w:p>
        </w:tc>
        <w:tc>
          <w:tcPr>
            <w:tcW w:w="2357"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25C2E4C3">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13269115259</w:t>
            </w:r>
          </w:p>
        </w:tc>
      </w:tr>
    </w:tbl>
    <w:p w14:paraId="69FFA22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二、选题说明</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160"/>
      </w:tblGrid>
      <w:tr w14:paraId="7240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3EDC075B">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选题题目</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3725DB1C">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京西稻农业文化遗产</w:t>
            </w:r>
            <w:r>
              <w:rPr>
                <w:rFonts w:ascii="仿宋_GB2312" w:hAnsi="Calibri" w:eastAsia="仿宋_GB2312" w:cs="Times New Roman"/>
                <w:b w:val="0"/>
                <w:i w:val="0"/>
                <w:strike w:val="0"/>
                <w:color w:val="auto"/>
                <w:kern w:val="0"/>
                <w:sz w:val="28"/>
                <w:szCs w:val="28"/>
                <w:highlight w:val="none"/>
                <w:u w:val="none"/>
                <w:lang w:val="en-US" w:eastAsia="zh-CN" w:bidi="ar-SA"/>
              </w:rPr>
              <w:t>模拟</w:t>
            </w:r>
            <w:r>
              <w:rPr>
                <w:rFonts w:ascii="仿宋_GB2312" w:hAnsi="Calibri" w:eastAsia="仿宋_GB2312" w:cs="Times New Roman"/>
                <w:b w:val="0"/>
                <w:i w:val="0"/>
                <w:strike w:val="0"/>
                <w:color w:val="auto"/>
                <w:kern w:val="0"/>
                <w:sz w:val="28"/>
                <w:szCs w:val="28"/>
                <w:u w:val="none"/>
                <w:lang w:val="en-US" w:eastAsia="zh-CN" w:bidi="ar-SA"/>
              </w:rPr>
              <w:t>经营游戏App</w:t>
            </w:r>
          </w:p>
        </w:tc>
      </w:tr>
      <w:tr w14:paraId="4C58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1A1BD63F">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行业领域</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547C68D2">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数字科技、农业文化遗产、教育研发、游戏化设计</w:t>
            </w:r>
          </w:p>
        </w:tc>
      </w:tr>
      <w:tr w14:paraId="2D4B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2A8FCC1C">
            <w:pPr>
              <w:spacing w:before="20" w:after="20" w:line="300" w:lineRule="auto"/>
              <w:jc w:val="left"/>
              <w:rPr>
                <w:rFonts w:hint="eastAsia" w:ascii="仿宋_GB2312" w:hAnsi="仿宋_GB2312" w:eastAsia="仿宋_GB2312" w:cs="仿宋_GB2312"/>
                <w:b/>
                <w:bCs/>
                <w:i w:val="0"/>
                <w:strike w:val="0"/>
                <w:color w:val="auto"/>
                <w:kern w:val="0"/>
                <w:sz w:val="28"/>
                <w:szCs w:val="28"/>
                <w:u w:val="none"/>
                <w:lang w:val="en-US" w:eastAsia="zh-CN" w:bidi="ar-SA"/>
              </w:rPr>
            </w:pPr>
            <w:r>
              <w:rPr>
                <w:rFonts w:hint="eastAsia" w:ascii="仿宋_GB2312" w:hAnsi="仿宋_GB2312" w:eastAsia="仿宋_GB2312" w:cs="仿宋_GB2312"/>
                <w:b/>
                <w:bCs/>
                <w:i w:val="0"/>
                <w:strike w:val="0"/>
                <w:color w:val="auto"/>
                <w:kern w:val="0"/>
                <w:sz w:val="28"/>
                <w:szCs w:val="28"/>
                <w:u w:val="none"/>
                <w:lang w:val="en-US" w:eastAsia="zh-CN" w:bidi="ar-SA"/>
              </w:rPr>
              <w:t>题目介绍</w:t>
            </w:r>
          </w:p>
          <w:p w14:paraId="3DDA6BD6">
            <w:pPr>
              <w:spacing w:before="20" w:after="20" w:line="300" w:lineRule="auto"/>
              <w:ind w:firstLine="560" w:firstLineChars="200"/>
              <w:jc w:val="both"/>
              <w:rPr>
                <w:rFonts w:hint="eastAsia" w:ascii="仿宋_GB2312" w:hAnsi="仿宋_GB2312" w:eastAsia="仿宋_GB2312" w:cs="仿宋_GB2312"/>
                <w:b w:val="0"/>
                <w:i w:val="0"/>
                <w:strike w:val="0"/>
                <w:color w:val="auto"/>
                <w:kern w:val="0"/>
                <w:sz w:val="28"/>
                <w:szCs w:val="28"/>
                <w:u w:val="none"/>
                <w:lang w:val="en-US" w:eastAsia="zh-CN" w:bidi="ar-SA"/>
              </w:rPr>
            </w:pPr>
            <w:r>
              <w:rPr>
                <w:rFonts w:hint="eastAsia" w:ascii="仿宋_GB2312" w:hAnsi="仿宋_GB2312" w:eastAsia="仿宋_GB2312" w:cs="仿宋_GB2312"/>
                <w:b w:val="0"/>
                <w:i w:val="0"/>
                <w:strike w:val="0"/>
                <w:color w:val="auto"/>
                <w:kern w:val="0"/>
                <w:sz w:val="28"/>
                <w:szCs w:val="28"/>
                <w:u w:val="none"/>
                <w:lang w:val="en-US" w:eastAsia="zh-CN" w:bidi="ar-SA"/>
              </w:rPr>
              <w:t>设计一款以京西稻农业文化遗产保护传承为主题的模拟经营小程序或游戏App（</w:t>
            </w:r>
            <w:r>
              <w:rPr>
                <w:rFonts w:hint="eastAsia" w:ascii="仿宋_GB2312" w:hAnsi="仿宋_GB2312" w:eastAsia="仿宋_GB2312" w:cs="仿宋_GB2312"/>
                <w:b w:val="0"/>
                <w:i w:val="0"/>
                <w:strike w:val="0"/>
                <w:color w:val="auto"/>
                <w:kern w:val="0"/>
                <w:sz w:val="28"/>
                <w:szCs w:val="28"/>
                <w:highlight w:val="none"/>
                <w:u w:val="none"/>
                <w:lang w:val="en-US" w:eastAsia="zh-CN" w:bidi="ar-SA"/>
              </w:rPr>
              <w:t>面向普通玩家）。</w:t>
            </w:r>
            <w:r>
              <w:rPr>
                <w:rFonts w:hint="eastAsia" w:ascii="仿宋_GB2312" w:hAnsi="仿宋_GB2312" w:eastAsia="仿宋_GB2312" w:cs="仿宋_GB2312"/>
                <w:b w:val="0"/>
                <w:i w:val="0"/>
                <w:strike w:val="0"/>
                <w:color w:val="auto"/>
                <w:kern w:val="0"/>
                <w:sz w:val="28"/>
                <w:szCs w:val="28"/>
                <w:u w:val="none"/>
                <w:lang w:val="en-US" w:eastAsia="zh-CN" w:bidi="ar-SA"/>
              </w:rPr>
              <w:t>将京西稻一二三产动态保护传承的知识与意识内核，潜移默化地融入游戏玩法，让玩家在"种田—经营—融合"的过程中，自然掌握京西稻文化遗产的保护理念与产业逻辑。</w:t>
            </w:r>
          </w:p>
          <w:p w14:paraId="007A22CA">
            <w:pPr>
              <w:spacing w:before="20" w:after="20" w:line="300" w:lineRule="auto"/>
              <w:jc w:val="both"/>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核心脉络</w:t>
            </w:r>
          </w:p>
          <w:p w14:paraId="7B0A369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种田游戏—迭代内核—专业培训；一产奠基—二产延展—三产融合；科创生命—业创生机—服创生态；链连传导—功能复合—业态融合；价值转化—价值放大—价值升维。</w:t>
            </w:r>
          </w:p>
        </w:tc>
      </w:tr>
      <w:tr w14:paraId="75C1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3FEF3958">
            <w:pPr>
              <w:spacing w:before="20" w:after="40" w:line="30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b/>
                <w:bCs/>
                <w:color w:val="000000"/>
                <w:sz w:val="28"/>
                <w:szCs w:val="28"/>
              </w:rPr>
              <w:t>作品要求</w:t>
            </w:r>
          </w:p>
          <w:p w14:paraId="2BCD140B">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 xml:space="preserve">1. </w:t>
            </w:r>
            <w:r>
              <w:rPr>
                <w:rFonts w:hint="eastAsia" w:ascii="仿宋_GB2312" w:hAnsi="仿宋_GB2312" w:eastAsia="仿宋_GB2312" w:cs="仿宋_GB2312"/>
                <w:b w:val="0"/>
                <w:bCs w:val="0"/>
                <w:color w:val="auto"/>
                <w:sz w:val="28"/>
                <w:szCs w:val="28"/>
                <w:lang w:eastAsia="zh-CN"/>
              </w:rPr>
              <w:t>设计</w:t>
            </w:r>
            <w:r>
              <w:rPr>
                <w:rFonts w:hint="eastAsia" w:ascii="仿宋_GB2312" w:hAnsi="仿宋_GB2312" w:eastAsia="仿宋_GB2312" w:cs="仿宋_GB2312"/>
                <w:b w:val="0"/>
                <w:bCs w:val="0"/>
                <w:color w:val="auto"/>
                <w:sz w:val="28"/>
                <w:szCs w:val="28"/>
              </w:rPr>
              <w:t>一款可演示的模拟经营游戏（小程序或App），含核心玩法、成长体系与京西稻知识图谱的嵌入设计；</w:t>
            </w:r>
          </w:p>
          <w:p w14:paraId="06F78CFA">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2. 知识内容与玩法深度融合，玩家在种田、加工、经营、文旅等环节自然习得一二三产保护传承理念，避免“知识贴片化”；</w:t>
            </w:r>
          </w:p>
          <w:p w14:paraId="73F12BF4">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3. 体现“一产奠基—二产延展—三产融合”的完整产业链逻辑，设置可解锁的科技赋能、生态加工、文商旅融合等模块；</w:t>
            </w:r>
          </w:p>
          <w:p w14:paraId="631B2EB5">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4. 提交产品设计文档（Word）+ 交互原型/演示视频（PPT或录屏），说明目标用户、核心循环、知识嵌入机制与运营推广思路；</w:t>
            </w:r>
          </w:p>
          <w:p w14:paraId="7FE04ED6">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auto"/>
                <w:sz w:val="28"/>
                <w:szCs w:val="28"/>
              </w:rPr>
              <w:t>5. 成果须在大赛颁奖前提交并现场演示。</w:t>
            </w:r>
          </w:p>
        </w:tc>
      </w:tr>
      <w:tr w14:paraId="7EE4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606214DF">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企业可提供资源、激励及落地支持：</w:t>
            </w:r>
          </w:p>
          <w:p w14:paraId="07D57804">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1.提供京西稻产业与农业文化遗产相关基础资料、品牌授权标识（GI标、区域公用品牌等）；</w:t>
            </w:r>
          </w:p>
          <w:p w14:paraId="3B90A5B4">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2.提供现场调研与实地体验机会（稻田、加工点、文旅活动场景）；</w:t>
            </w:r>
          </w:p>
          <w:p w14:paraId="51EBDECB">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rPr>
              <w:t>3.安排专人（出题方）全程对接答疑</w:t>
            </w:r>
            <w:r>
              <w:rPr>
                <w:rFonts w:hint="eastAsia" w:ascii="仿宋_GB2312" w:hAnsi="仿宋_GB2312" w:eastAsia="仿宋_GB2312" w:cs="仿宋_GB2312"/>
                <w:b w:val="0"/>
                <w:bCs w:val="0"/>
                <w:color w:val="auto"/>
                <w:sz w:val="28"/>
                <w:szCs w:val="28"/>
                <w:lang w:eastAsia="zh-CN"/>
              </w:rPr>
              <w:t>。</w:t>
            </w:r>
          </w:p>
        </w:tc>
      </w:tr>
    </w:tbl>
    <w:p w14:paraId="04AE4018">
      <w:r>
        <w:br w:type="page"/>
      </w:r>
    </w:p>
    <w:p w14:paraId="49B02705">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选题02　三产三创京西稻大米文创包装设计（三产三创米砖）</w:t>
      </w:r>
    </w:p>
    <w:p w14:paraId="60954840">
      <w:pPr>
        <w:rPr>
          <w:rFonts w:hint="eastAsia"/>
        </w:rPr>
      </w:pPr>
    </w:p>
    <w:p w14:paraId="5B9A197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一、单位信息</w:t>
      </w:r>
    </w:p>
    <w:tbl>
      <w:tblPr>
        <w:tblStyle w:val="9"/>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8"/>
        <w:gridCol w:w="246"/>
        <w:gridCol w:w="2354"/>
        <w:gridCol w:w="2354"/>
        <w:gridCol w:w="2357"/>
      </w:tblGrid>
      <w:tr w14:paraId="2F11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3E3F637A">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单位名称</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4641F037">
            <w:pPr>
              <w:spacing w:before="20" w:after="60" w:line="300" w:lineRule="auto"/>
              <w:ind w:firstLine="840" w:firstLineChars="3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上庄联拓农业科技发展（北京）有限公司</w:t>
            </w:r>
          </w:p>
        </w:tc>
      </w:tr>
      <w:tr w14:paraId="0B2C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619F2D22">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地址</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3087CA8C">
            <w:pPr>
              <w:spacing w:before="20" w:after="60" w:line="300" w:lineRule="auto"/>
              <w:ind w:firstLine="1960" w:firstLineChars="7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北京市海淀区上庄镇</w:t>
            </w:r>
          </w:p>
        </w:tc>
      </w:tr>
      <w:tr w14:paraId="7B16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19" w:type="dxa"/>
            <w:gridSpan w:val="5"/>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1EFD4AE3">
            <w:pPr>
              <w:spacing w:before="20" w:after="20" w:line="300" w:lineRule="auto"/>
              <w:jc w:val="left"/>
            </w:pPr>
            <w:r>
              <w:rPr>
                <w:rFonts w:hint="eastAsia" w:ascii="仿宋_GB2312" w:hAnsi="Calibri" w:eastAsia="仿宋_GB2312" w:cs="Times New Roman"/>
                <w:b/>
                <w:bCs/>
                <w:i w:val="0"/>
                <w:strike w:val="0"/>
                <w:color w:val="auto"/>
                <w:kern w:val="0"/>
                <w:sz w:val="28"/>
                <w:szCs w:val="28"/>
                <w:u w:val="none"/>
                <w:lang w:val="en-US" w:eastAsia="zh-CN" w:bidi="ar-SA"/>
              </w:rPr>
              <w:t>企业简介：</w:t>
            </w:r>
            <w:r>
              <w:rPr>
                <w:rFonts w:ascii="仿宋_GB2312" w:hAnsi="Calibri" w:eastAsia="仿宋_GB2312" w:cs="Times New Roman"/>
                <w:b w:val="0"/>
                <w:i w:val="0"/>
                <w:strike w:val="0"/>
                <w:color w:val="auto"/>
                <w:kern w:val="0"/>
                <w:sz w:val="28"/>
                <w:szCs w:val="28"/>
                <w:u w:val="none"/>
                <w:lang w:val="en-US" w:eastAsia="zh-CN" w:bidi="ar-SA"/>
              </w:rPr>
              <w:t>上庄联拓农业科技发展（北京）有限公司是上庄镇集体经济二级企业，围绕京西稻农业文化遗产保护传承与一二三产融合发展，开展品牌运营、文创开发、农文旅活动策划与园区运营等业务，是本次大赛联合体协助单位与主要出题方之一。</w:t>
            </w:r>
          </w:p>
        </w:tc>
      </w:tr>
      <w:tr w14:paraId="38B6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354"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0652552E">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联系人：</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514CD928">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夏</w:t>
            </w:r>
            <w:r>
              <w:rPr>
                <w:rFonts w:hint="eastAsia" w:ascii="仿宋_GB2312" w:eastAsia="仿宋_GB2312" w:cs="Times New Roman"/>
                <w:b w:val="0"/>
                <w:bCs w:val="0"/>
                <w:i w:val="0"/>
                <w:strike w:val="0"/>
                <w:color w:val="auto"/>
                <w:kern w:val="0"/>
                <w:sz w:val="28"/>
                <w:szCs w:val="28"/>
                <w:u w:val="none"/>
                <w:lang w:val="en-US" w:eastAsia="zh-CN" w:bidi="ar-SA"/>
              </w:rPr>
              <w:t>海威</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3CA5CB49">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联系方式：</w:t>
            </w:r>
          </w:p>
        </w:tc>
        <w:tc>
          <w:tcPr>
            <w:tcW w:w="2357"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5B24EB8D">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13269115259</w:t>
            </w:r>
          </w:p>
        </w:tc>
      </w:tr>
    </w:tbl>
    <w:p w14:paraId="6BFBDAE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二、选题说明</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160"/>
      </w:tblGrid>
      <w:tr w14:paraId="6A4B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180301AA">
            <w:pPr>
              <w:spacing w:before="20" w:after="60" w:line="300" w:lineRule="auto"/>
              <w:ind w:firstLine="560" w:firstLineChars="200"/>
              <w:jc w:val="left"/>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选题题目</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38F5827E">
            <w:pPr>
              <w:spacing w:before="20" w:after="60" w:line="300" w:lineRule="auto"/>
              <w:jc w:val="center"/>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三产三创京西稻大米文创包装设计（三产三创米砖）</w:t>
            </w:r>
          </w:p>
        </w:tc>
      </w:tr>
      <w:tr w14:paraId="6B09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6344E938">
            <w:pPr>
              <w:spacing w:before="20" w:after="60" w:line="300" w:lineRule="auto"/>
              <w:ind w:firstLine="560" w:firstLineChars="200"/>
              <w:jc w:val="left"/>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行业领域</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5F0963B6">
            <w:pPr>
              <w:spacing w:before="20" w:after="60" w:line="300" w:lineRule="auto"/>
              <w:jc w:val="center"/>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文创设计、品牌包装、农产品加工、市场营销</w:t>
            </w:r>
          </w:p>
        </w:tc>
      </w:tr>
      <w:tr w14:paraId="1198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1868E65B">
            <w:pPr>
              <w:spacing w:before="20" w:after="20" w:line="300" w:lineRule="auto"/>
              <w:jc w:val="left"/>
              <w:rPr>
                <w:rFonts w:ascii="仿宋_GB2312" w:hAnsi="Calibri" w:eastAsia="仿宋_GB2312" w:cs="Times New Roman"/>
                <w:b/>
                <w:bCs/>
                <w:i w:val="0"/>
                <w:strike w:val="0"/>
                <w:color w:val="auto"/>
                <w:kern w:val="0"/>
                <w:sz w:val="28"/>
                <w:szCs w:val="28"/>
                <w:u w:val="none"/>
                <w:lang w:val="en-US" w:eastAsia="zh-CN" w:bidi="ar-SA"/>
              </w:rPr>
            </w:pPr>
            <w:r>
              <w:rPr>
                <w:rFonts w:ascii="仿宋_GB2312" w:hAnsi="Calibri" w:eastAsia="仿宋_GB2312" w:cs="Times New Roman"/>
                <w:b/>
                <w:bCs/>
                <w:i w:val="0"/>
                <w:strike w:val="0"/>
                <w:color w:val="auto"/>
                <w:kern w:val="0"/>
                <w:sz w:val="28"/>
                <w:szCs w:val="28"/>
                <w:u w:val="none"/>
                <w:lang w:val="en-US" w:eastAsia="zh-CN" w:bidi="ar-SA"/>
              </w:rPr>
              <w:t>题目介绍</w:t>
            </w:r>
          </w:p>
          <w:p w14:paraId="033EDC5D">
            <w:pPr>
              <w:spacing w:before="20" w:after="20" w:line="300" w:lineRule="auto"/>
              <w:ind w:firstLine="560" w:firstLineChars="200"/>
              <w:jc w:val="both"/>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选用京西稻主栽品种</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青玉见尝</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，设计一套</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三产三创</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文创包装：三个2斤透明米砖分别装入三个纸盒，套一个翻盖外盒，再配一个纸袋，均选用牛皮纸材质以降低成本、体现农业调性。</w:t>
            </w:r>
          </w:p>
          <w:p w14:paraId="4B36F1EC">
            <w:pPr>
              <w:spacing w:before="20" w:after="20" w:line="300" w:lineRule="auto"/>
              <w:ind w:firstLine="560" w:firstLineChars="200"/>
              <w:jc w:val="both"/>
            </w:pPr>
            <w:r>
              <w:rPr>
                <w:rFonts w:ascii="仿宋_GB2312" w:hAnsi="Calibri" w:eastAsia="仿宋_GB2312" w:cs="Times New Roman"/>
                <w:b w:val="0"/>
                <w:i w:val="0"/>
                <w:strike w:val="0"/>
                <w:color w:val="auto"/>
                <w:kern w:val="0"/>
                <w:sz w:val="28"/>
                <w:szCs w:val="28"/>
                <w:u w:val="none"/>
                <w:lang w:val="en-US" w:eastAsia="zh-CN" w:bidi="ar-SA"/>
              </w:rPr>
              <w:t>外盒须完整呈现</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潮海三农</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highlight w:val="none"/>
                <w:u w:val="none"/>
                <w:lang w:val="en-US" w:eastAsia="zh-CN" w:bidi="ar-SA"/>
              </w:rPr>
              <w:t>区域公用品牌、</w:t>
            </w:r>
            <w:r>
              <w:rPr>
                <w:rFonts w:hint="eastAsia" w:ascii="仿宋_GB2312" w:hAnsi="Calibri" w:eastAsia="仿宋_GB2312" w:cs="Times New Roman"/>
                <w:b w:val="0"/>
                <w:i w:val="0"/>
                <w:strike w:val="0"/>
                <w:color w:val="auto"/>
                <w:kern w:val="0"/>
                <w:sz w:val="28"/>
                <w:szCs w:val="28"/>
                <w:highlight w:val="none"/>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京西稻</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地标标识（GI标）、</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上庄镇logo</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玉泉山</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古船米业授权标识、</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有机认证</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五要素，合理排位形成主视觉。三个纸盒外图分别对应"科创生命</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业创生机</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服创生态"，展示上庄围绕京西稻在一二三产的创新举措，横排并排放入内盒（非叠放），外盒翻开后形成从左到右的一二三产</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三联画</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w:t>
            </w:r>
          </w:p>
        </w:tc>
      </w:tr>
      <w:tr w14:paraId="51FC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4C32A4A1">
            <w:pPr>
              <w:spacing w:before="20" w:after="20" w:line="300" w:lineRule="auto"/>
              <w:jc w:val="left"/>
              <w:rPr>
                <w:rFonts w:ascii="仿宋_GB2312" w:hAnsi="Calibri" w:eastAsia="仿宋_GB2312" w:cs="Times New Roman"/>
                <w:b/>
                <w:bCs/>
                <w:i w:val="0"/>
                <w:strike w:val="0"/>
                <w:color w:val="auto"/>
                <w:kern w:val="0"/>
                <w:sz w:val="28"/>
                <w:szCs w:val="28"/>
                <w:u w:val="none"/>
                <w:lang w:val="en-US" w:eastAsia="zh-CN" w:bidi="ar-SA"/>
              </w:rPr>
            </w:pPr>
            <w:r>
              <w:rPr>
                <w:rFonts w:ascii="仿宋_GB2312" w:hAnsi="Calibri" w:eastAsia="仿宋_GB2312" w:cs="Times New Roman"/>
                <w:b/>
                <w:bCs/>
                <w:i w:val="0"/>
                <w:strike w:val="0"/>
                <w:color w:val="auto"/>
                <w:kern w:val="0"/>
                <w:sz w:val="28"/>
                <w:szCs w:val="28"/>
                <w:u w:val="none"/>
                <w:lang w:val="en-US" w:eastAsia="zh-CN" w:bidi="ar-SA"/>
              </w:rPr>
              <w:t>作品要求</w:t>
            </w:r>
          </w:p>
          <w:p w14:paraId="7A168F25">
            <w:pPr>
              <w:pStyle w:val="11"/>
              <w:numPr>
                <w:ilvl w:val="0"/>
                <w:numId w:val="0"/>
              </w:numPr>
              <w:spacing w:after="40" w:line="300" w:lineRule="auto"/>
              <w:jc w:val="both"/>
              <w:rPr>
                <w:rFonts w:hint="eastAsia" w:ascii="仿宋_GB2312" w:hAnsi="仿宋_GB2312" w:eastAsia="仿宋_GB2312" w:cs="仿宋_GB2312"/>
                <w:b w:val="0"/>
                <w:bCs w:val="0"/>
                <w:color w:val="000000"/>
                <w:sz w:val="28"/>
                <w:szCs w:val="28"/>
                <w:highlight w:val="none"/>
              </w:rPr>
            </w:pPr>
            <w:r>
              <w:rPr>
                <w:rFonts w:hint="eastAsia" w:ascii="仿宋_GB2312" w:hAnsi="仿宋_GB2312" w:eastAsia="仿宋_GB2312" w:cs="仿宋_GB2312"/>
                <w:b w:val="0"/>
                <w:bCs w:val="0"/>
                <w:color w:val="000000"/>
                <w:sz w:val="28"/>
                <w:szCs w:val="28"/>
              </w:rPr>
              <w:t>1.三个纸盒分别对应：科创生命盒（一产科技赋能：分子标记辅助育种、新能源农机、智能具身除草等场景，背面留医谷产业园及零碳农场综试基地招</w:t>
            </w:r>
            <w:r>
              <w:rPr>
                <w:rFonts w:hint="eastAsia" w:ascii="仿宋_GB2312" w:hAnsi="仿宋_GB2312" w:eastAsia="仿宋_GB2312" w:cs="仿宋_GB2312"/>
                <w:b w:val="0"/>
                <w:bCs w:val="0"/>
                <w:color w:val="000000"/>
                <w:sz w:val="28"/>
                <w:szCs w:val="28"/>
                <w:highlight w:val="none"/>
              </w:rPr>
              <w:t>商二维码、客服微信与引导语）、</w:t>
            </w:r>
            <w:r>
              <w:rPr>
                <w:rFonts w:hint="eastAsia" w:ascii="仿宋_GB2312" w:hAnsi="仿宋_GB2312" w:eastAsia="仿宋_GB2312" w:cs="仿宋_GB2312"/>
                <w:b w:val="0"/>
                <w:bCs w:val="0"/>
                <w:color w:val="000000"/>
                <w:sz w:val="28"/>
                <w:szCs w:val="28"/>
                <w:shd w:val="clear"/>
              </w:rPr>
              <w:t>业创</w:t>
            </w:r>
            <w:r>
              <w:rPr>
                <w:rFonts w:hint="eastAsia" w:ascii="仿宋_GB2312" w:hAnsi="仿宋_GB2312" w:eastAsia="仿宋_GB2312" w:cs="仿宋_GB2312"/>
                <w:b w:val="0"/>
                <w:bCs w:val="0"/>
                <w:color w:val="000000"/>
                <w:sz w:val="28"/>
                <w:szCs w:val="28"/>
                <w:highlight w:val="none"/>
              </w:rPr>
              <w:t>生机盒（二产生态加工：现碾米场景，背面留御稻原乡现碾米会员模式二维码与引导语，画面信息最饱满、居中）、</w:t>
            </w:r>
            <w:r>
              <w:rPr>
                <w:rFonts w:hint="eastAsia" w:ascii="仿宋_GB2312" w:hAnsi="仿宋_GB2312" w:eastAsia="仿宋_GB2312" w:cs="仿宋_GB2312"/>
                <w:b w:val="0"/>
                <w:bCs w:val="0"/>
                <w:color w:val="000000"/>
                <w:sz w:val="28"/>
                <w:szCs w:val="28"/>
                <w:shd w:val="clear"/>
              </w:rPr>
              <w:t>服创</w:t>
            </w:r>
            <w:r>
              <w:rPr>
                <w:rFonts w:hint="eastAsia" w:ascii="仿宋_GB2312" w:hAnsi="仿宋_GB2312" w:eastAsia="仿宋_GB2312" w:cs="仿宋_GB2312"/>
                <w:b w:val="0"/>
                <w:bCs w:val="0"/>
                <w:color w:val="000000"/>
                <w:sz w:val="28"/>
                <w:szCs w:val="28"/>
              </w:rPr>
              <w:t>生</w:t>
            </w:r>
            <w:r>
              <w:rPr>
                <w:rFonts w:hint="eastAsia" w:ascii="仿宋_GB2312" w:hAnsi="仿宋_GB2312" w:eastAsia="仿宋_GB2312" w:cs="仿宋_GB2312"/>
                <w:b w:val="0"/>
                <w:bCs w:val="0"/>
                <w:color w:val="000000"/>
                <w:sz w:val="28"/>
                <w:szCs w:val="28"/>
                <w:highlight w:val="none"/>
              </w:rPr>
              <w:t>态盒（三产文商旅体展活动地图，背面留稻香花海五季体验地图二维码、客服微信电话与引导语）；</w:t>
            </w:r>
          </w:p>
          <w:p w14:paraId="69484210">
            <w:pPr>
              <w:pStyle w:val="11"/>
              <w:numPr>
                <w:ilvl w:val="0"/>
                <w:numId w:val="0"/>
              </w:numPr>
              <w:spacing w:after="40" w:line="300" w:lineRule="auto"/>
              <w:jc w:val="both"/>
              <w:rPr>
                <w:rFonts w:hint="eastAsia" w:ascii="仿宋_GB2312" w:hAnsi="仿宋_GB2312" w:eastAsia="仿宋_GB2312" w:cs="仿宋_GB2312"/>
                <w:b w:val="0"/>
                <w:bCs w:val="0"/>
                <w:color w:val="000000"/>
                <w:sz w:val="28"/>
                <w:szCs w:val="28"/>
                <w:highlight w:val="none"/>
              </w:rPr>
            </w:pPr>
            <w:r>
              <w:rPr>
                <w:rFonts w:hint="eastAsia" w:ascii="仿宋_GB2312" w:hAnsi="仿宋_GB2312" w:eastAsia="仿宋_GB2312" w:cs="仿宋_GB2312"/>
                <w:b w:val="0"/>
                <w:bCs w:val="0"/>
                <w:color w:val="000000"/>
                <w:sz w:val="28"/>
                <w:szCs w:val="28"/>
                <w:highlight w:val="none"/>
              </w:rPr>
              <w:t>2.每个纸盒侧面放置成分表、生产商、加工标准、SC码、净含量、产地、生产日期、保质期、贮存条件、商品条码、烹饪建议及有机标识等合规信息；</w:t>
            </w:r>
          </w:p>
          <w:p w14:paraId="6E699D18">
            <w:pPr>
              <w:pStyle w:val="11"/>
              <w:numPr>
                <w:ilvl w:val="0"/>
                <w:numId w:val="0"/>
              </w:numPr>
              <w:spacing w:after="40" w:line="300" w:lineRule="auto"/>
              <w:jc w:val="both"/>
              <w:rPr>
                <w:rFonts w:hint="eastAsia" w:ascii="仿宋_GB2312" w:hAnsi="仿宋_GB2312" w:eastAsia="仿宋_GB2312" w:cs="仿宋_GB2312"/>
                <w:b w:val="0"/>
                <w:bCs w:val="0"/>
                <w:color w:val="000000"/>
                <w:sz w:val="28"/>
                <w:szCs w:val="28"/>
                <w:highlight w:val="none"/>
              </w:rPr>
            </w:pPr>
            <w:r>
              <w:rPr>
                <w:rFonts w:hint="eastAsia" w:ascii="仿宋_GB2312" w:hAnsi="仿宋_GB2312" w:eastAsia="仿宋_GB2312" w:cs="仿宋_GB2312"/>
                <w:b w:val="0"/>
                <w:bCs w:val="0"/>
                <w:color w:val="000000"/>
                <w:sz w:val="28"/>
                <w:szCs w:val="28"/>
                <w:highlight w:val="none"/>
              </w:rPr>
              <w:t>3.外盒及纸盒可加宣传语：海淀上庄循环粮盒计划——带无损包装盒到店消费立打九折，践行环保与意识营销；内可放各类应季优惠券/体验券；</w:t>
            </w:r>
          </w:p>
          <w:p w14:paraId="591D285C">
            <w:pPr>
              <w:pStyle w:val="11"/>
              <w:numPr>
                <w:ilvl w:val="0"/>
                <w:numId w:val="0"/>
              </w:numPr>
              <w:spacing w:after="40" w:line="300" w:lineRule="auto"/>
              <w:jc w:val="both"/>
              <w:rPr>
                <w:rFonts w:hint="eastAsia" w:ascii="仿宋_GB2312" w:hAnsi="仿宋_GB2312" w:eastAsia="仿宋_GB2312" w:cs="仿宋_GB2312"/>
                <w:b w:val="0"/>
                <w:bCs w:val="0"/>
                <w:color w:val="000000"/>
                <w:sz w:val="28"/>
                <w:szCs w:val="28"/>
                <w:highlight w:val="none"/>
              </w:rPr>
            </w:pPr>
            <w:r>
              <w:rPr>
                <w:rFonts w:hint="eastAsia" w:ascii="仿宋_GB2312" w:hAnsi="仿宋_GB2312" w:eastAsia="仿宋_GB2312" w:cs="仿宋_GB2312"/>
                <w:b w:val="0"/>
                <w:bCs w:val="0"/>
                <w:color w:val="000000"/>
                <w:sz w:val="28"/>
                <w:szCs w:val="28"/>
                <w:highlight w:val="none"/>
              </w:rPr>
              <w:t>4.提交全套包装设计方案（效果图+结构展开图+材质工艺说明+五要素排位规范+推文文案），服创</w:t>
            </w:r>
            <w:r>
              <w:rPr>
                <w:rFonts w:hint="eastAsia" w:ascii="仿宋_GB2312" w:hAnsi="仿宋_GB2312" w:eastAsia="仿宋_GB2312" w:cs="仿宋_GB2312"/>
                <w:b w:val="0"/>
                <w:bCs w:val="0"/>
                <w:color w:val="000000"/>
                <w:sz w:val="28"/>
                <w:szCs w:val="28"/>
              </w:rPr>
              <w:t>生态推文须按稻香花海四季逻辑介绍体验动线，重点推荐宝格特</w:t>
            </w:r>
            <w:r>
              <w:rPr>
                <w:rFonts w:hint="eastAsia" w:ascii="仿宋_GB2312" w:hAnsi="仿宋_GB2312" w:eastAsia="仿宋_GB2312" w:cs="仿宋_GB2312"/>
                <w:b w:val="0"/>
                <w:bCs w:val="0"/>
                <w:color w:val="000000"/>
                <w:sz w:val="28"/>
                <w:szCs w:val="28"/>
                <w:shd w:val="clear"/>
              </w:rPr>
              <w:t>诈马宴</w:t>
            </w:r>
            <w:r>
              <w:rPr>
                <w:rFonts w:hint="eastAsia" w:ascii="仿宋_GB2312" w:hAnsi="仿宋_GB2312" w:eastAsia="仿宋_GB2312" w:cs="仿宋_GB2312"/>
                <w:b w:val="0"/>
                <w:bCs w:val="0"/>
                <w:color w:val="000000"/>
                <w:sz w:val="28"/>
                <w:szCs w:val="28"/>
                <w:highlight w:val="none"/>
              </w:rPr>
              <w:t>与非遗馆研学，推文留独立联系方式（盒上客服微信统一为联拓）；</w:t>
            </w:r>
          </w:p>
          <w:p w14:paraId="5C0B61F7">
            <w:pPr>
              <w:pStyle w:val="11"/>
              <w:numPr>
                <w:ilvl w:val="0"/>
                <w:numId w:val="0"/>
              </w:numPr>
              <w:spacing w:after="40" w:line="300" w:lineRule="auto"/>
              <w:jc w:val="both"/>
            </w:pPr>
            <w:r>
              <w:rPr>
                <w:rFonts w:hint="eastAsia" w:ascii="仿宋_GB2312" w:hAnsi="仿宋_GB2312" w:eastAsia="仿宋_GB2312" w:cs="仿宋_GB2312"/>
                <w:b w:val="0"/>
                <w:bCs w:val="0"/>
                <w:color w:val="000000"/>
                <w:sz w:val="28"/>
                <w:szCs w:val="28"/>
              </w:rPr>
              <w:t>5.成果形式：设计图册+PPT，含三视图、色彩规范、应用场景效果图。</w:t>
            </w:r>
          </w:p>
        </w:tc>
      </w:tr>
      <w:tr w14:paraId="58A7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115A8744">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企业可提供资源、激励及落地支持：</w:t>
            </w:r>
          </w:p>
          <w:p w14:paraId="5F8BB7DE">
            <w:pPr>
              <w:pStyle w:val="11"/>
              <w:numPr>
                <w:ilvl w:val="0"/>
                <w:numId w:val="0"/>
              </w:numPr>
              <w:spacing w:after="40" w:line="300" w:lineRule="auto"/>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1.提供五要素标识源文件、授权使用说明及产品基础信息；</w:t>
            </w:r>
          </w:p>
          <w:p w14:paraId="238F12F7">
            <w:pPr>
              <w:pStyle w:val="11"/>
              <w:numPr>
                <w:ilvl w:val="0"/>
                <w:numId w:val="0"/>
              </w:numPr>
              <w:spacing w:after="40" w:line="300" w:lineRule="auto"/>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2.提供现碾米、医谷、零碳农场、稻香花海等场景素材与对接人；</w:t>
            </w:r>
          </w:p>
          <w:p w14:paraId="6CA5CB7B">
            <w:pPr>
              <w:pStyle w:val="11"/>
              <w:numPr>
                <w:ilvl w:val="0"/>
                <w:numId w:val="0"/>
              </w:numPr>
              <w:spacing w:after="40" w:line="300" w:lineRule="auto"/>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3.安排专人全程对接答疑，支持实地调研与打样。</w:t>
            </w:r>
          </w:p>
        </w:tc>
      </w:tr>
    </w:tbl>
    <w:p w14:paraId="3E5897A9">
      <w:r>
        <w:br w:type="page"/>
      </w:r>
    </w:p>
    <w:p w14:paraId="5BE49CDE">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选题03　地标诈马宴体验—营销模式设计</w:t>
      </w:r>
    </w:p>
    <w:p w14:paraId="19A2AF45">
      <w:pPr>
        <w:rPr>
          <w:rFonts w:hint="eastAsia"/>
        </w:rPr>
      </w:pPr>
    </w:p>
    <w:p w14:paraId="4B3ED40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一、单位信息</w:t>
      </w:r>
    </w:p>
    <w:tbl>
      <w:tblPr>
        <w:tblStyle w:val="9"/>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8"/>
        <w:gridCol w:w="246"/>
        <w:gridCol w:w="2354"/>
        <w:gridCol w:w="2354"/>
        <w:gridCol w:w="2357"/>
      </w:tblGrid>
      <w:tr w14:paraId="666B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3D5EB1B3">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单位名称</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37EAFA19">
            <w:pPr>
              <w:spacing w:before="20" w:after="60" w:line="300" w:lineRule="auto"/>
              <w:ind w:firstLine="840" w:firstLineChars="3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上庄联拓农业科技发展（北京）有限公司</w:t>
            </w:r>
          </w:p>
        </w:tc>
      </w:tr>
      <w:tr w14:paraId="509A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2D91358D">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地址</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1EE584A1">
            <w:pPr>
              <w:spacing w:before="20" w:after="60" w:line="300" w:lineRule="auto"/>
              <w:ind w:firstLine="1960" w:firstLineChars="7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北京市海淀区上庄镇</w:t>
            </w:r>
          </w:p>
        </w:tc>
      </w:tr>
      <w:tr w14:paraId="3C76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19" w:type="dxa"/>
            <w:gridSpan w:val="5"/>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4B89CB6D">
            <w:pPr>
              <w:spacing w:before="20" w:after="20" w:line="300" w:lineRule="auto"/>
              <w:jc w:val="left"/>
            </w:pPr>
            <w:r>
              <w:rPr>
                <w:rFonts w:hint="eastAsia" w:ascii="仿宋_GB2312" w:hAnsi="Calibri" w:eastAsia="仿宋_GB2312" w:cs="Times New Roman"/>
                <w:b/>
                <w:bCs/>
                <w:i w:val="0"/>
                <w:strike w:val="0"/>
                <w:color w:val="auto"/>
                <w:kern w:val="0"/>
                <w:sz w:val="28"/>
                <w:szCs w:val="28"/>
                <w:u w:val="none"/>
                <w:lang w:val="en-US" w:eastAsia="zh-CN" w:bidi="ar-SA"/>
              </w:rPr>
              <w:t>企业简介：</w:t>
            </w:r>
            <w:r>
              <w:rPr>
                <w:rFonts w:ascii="仿宋_GB2312" w:hAnsi="Calibri" w:eastAsia="仿宋_GB2312" w:cs="Times New Roman"/>
                <w:b w:val="0"/>
                <w:i w:val="0"/>
                <w:strike w:val="0"/>
                <w:color w:val="auto"/>
                <w:kern w:val="0"/>
                <w:sz w:val="28"/>
                <w:szCs w:val="28"/>
                <w:u w:val="none"/>
                <w:lang w:val="en-US" w:eastAsia="zh-CN" w:bidi="ar-SA"/>
              </w:rPr>
              <w:t>上庄联拓农业科技发展（北京）有限公司是上庄镇集体经济二级企业，围绕京西稻农业文化遗产保护传承与一二三产融合发展，开展品牌运营、文创开发、农文旅活动策划与园区运营等业务，是本次大赛联合体协助单位与主要出题方之一。</w:t>
            </w:r>
          </w:p>
        </w:tc>
      </w:tr>
      <w:tr w14:paraId="1C51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354"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5E872B45">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联系人：</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7E14B807">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夏</w:t>
            </w:r>
            <w:r>
              <w:rPr>
                <w:rFonts w:hint="eastAsia" w:ascii="仿宋_GB2312" w:eastAsia="仿宋_GB2312" w:cs="Times New Roman"/>
                <w:b w:val="0"/>
                <w:bCs w:val="0"/>
                <w:i w:val="0"/>
                <w:strike w:val="0"/>
                <w:color w:val="auto"/>
                <w:kern w:val="0"/>
                <w:sz w:val="28"/>
                <w:szCs w:val="28"/>
                <w:u w:val="none"/>
                <w:lang w:val="en-US" w:eastAsia="zh-CN" w:bidi="ar-SA"/>
              </w:rPr>
              <w:t>海威</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3B22793C">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联系方式：</w:t>
            </w:r>
          </w:p>
        </w:tc>
        <w:tc>
          <w:tcPr>
            <w:tcW w:w="2357"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2C7B0CB4">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13269115259</w:t>
            </w:r>
          </w:p>
        </w:tc>
      </w:tr>
    </w:tbl>
    <w:p w14:paraId="672242C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二、选题说明</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160"/>
      </w:tblGrid>
      <w:tr w14:paraId="169B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6B823191">
            <w:pPr>
              <w:spacing w:before="20" w:after="20" w:line="300" w:lineRule="auto"/>
              <w:ind w:firstLine="560" w:firstLineChars="200"/>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选题题目</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67FA7D31">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地标诈马宴体验—营销模式设计</w:t>
            </w:r>
          </w:p>
        </w:tc>
      </w:tr>
      <w:tr w14:paraId="3EDE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12DFC70A">
            <w:pPr>
              <w:spacing w:before="20" w:after="20" w:line="300" w:lineRule="auto"/>
              <w:ind w:firstLine="560" w:firstLineChars="200"/>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行业领域</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281C6C10">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文旅融合、餐饮体验、活动策划、新媒体营销</w:t>
            </w:r>
          </w:p>
        </w:tc>
      </w:tr>
      <w:tr w14:paraId="2E78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324520B8">
            <w:pPr>
              <w:spacing w:before="20" w:after="20" w:line="300" w:lineRule="auto"/>
              <w:jc w:val="left"/>
              <w:rPr>
                <w:rFonts w:ascii="仿宋_GB2312" w:hAnsi="Calibri" w:eastAsia="仿宋_GB2312" w:cs="Times New Roman"/>
                <w:b/>
                <w:bCs/>
                <w:i w:val="0"/>
                <w:strike w:val="0"/>
                <w:color w:val="auto"/>
                <w:kern w:val="0"/>
                <w:sz w:val="28"/>
                <w:szCs w:val="28"/>
                <w:u w:val="none"/>
                <w:lang w:val="en-US" w:eastAsia="zh-CN" w:bidi="ar-SA"/>
              </w:rPr>
            </w:pPr>
            <w:r>
              <w:rPr>
                <w:rFonts w:ascii="仿宋_GB2312" w:hAnsi="Calibri" w:eastAsia="仿宋_GB2312" w:cs="Times New Roman"/>
                <w:b/>
                <w:bCs/>
                <w:i w:val="0"/>
                <w:strike w:val="0"/>
                <w:color w:val="auto"/>
                <w:kern w:val="0"/>
                <w:sz w:val="28"/>
                <w:szCs w:val="28"/>
                <w:u w:val="none"/>
                <w:lang w:val="en-US" w:eastAsia="zh-CN" w:bidi="ar-SA"/>
              </w:rPr>
              <w:t>题目介绍</w:t>
            </w:r>
          </w:p>
          <w:p w14:paraId="5CF45C1E">
            <w:pPr>
              <w:spacing w:before="20" w:after="20" w:line="300" w:lineRule="auto"/>
              <w:ind w:firstLine="560" w:firstLineChars="200"/>
              <w:jc w:val="both"/>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诈马宴是内蒙古特色传统宴席形式，已广泛用于草原旅游接待。上庄宝格特蒙古包拟做诈马宴，但并非传统蒙餐，而是以诈马宴为形式，链接各地地标农产品与上庄的关系</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每个与上庄乡村振兴总部有关联的地标农产品产业的支柱性产品，都可在宝格特定制开发特色菜品；围绕这道菜整理其产业发展故事与特点，结合故事设计一首歌曲（或一段舞蹈、一个小节目），拍摄宣传片，最终把特色菜、背景故事、特色舞蹈、宣传片整合成一场演出，以诈马宴形式向客人呈现，并通过抖音、大众点评等渠道团购销售。</w:t>
            </w:r>
          </w:p>
          <w:p w14:paraId="41073366">
            <w:pPr>
              <w:spacing w:before="20" w:after="20" w:line="300" w:lineRule="auto"/>
              <w:jc w:val="both"/>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需破解三大痛点：一、如何让游客持续获得新鲜、舒适、舒心的忘我体验并认可场域，但不生硬；二、如何让游客主动传播、愿意再来并带亲友来、主动向他人介绍；三、如何让这一体验与上庄整体文化活动产生强关联。</w:t>
            </w:r>
          </w:p>
        </w:tc>
      </w:tr>
      <w:tr w14:paraId="0BF4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72E64E7D">
            <w:pPr>
              <w:spacing w:before="20" w:after="20" w:line="300" w:lineRule="auto"/>
              <w:jc w:val="both"/>
              <w:rPr>
                <w:rFonts w:ascii="仿宋_GB2312" w:hAnsi="Calibri" w:eastAsia="仿宋_GB2312" w:cs="Times New Roman"/>
                <w:b/>
                <w:bCs/>
                <w:i w:val="0"/>
                <w:strike w:val="0"/>
                <w:color w:val="auto"/>
                <w:kern w:val="0"/>
                <w:sz w:val="28"/>
                <w:szCs w:val="28"/>
                <w:u w:val="none"/>
                <w:lang w:val="en-US" w:eastAsia="zh-CN" w:bidi="ar-SA"/>
              </w:rPr>
            </w:pPr>
            <w:r>
              <w:rPr>
                <w:rFonts w:ascii="仿宋_GB2312" w:hAnsi="Calibri" w:eastAsia="仿宋_GB2312" w:cs="Times New Roman"/>
                <w:b/>
                <w:bCs/>
                <w:i w:val="0"/>
                <w:strike w:val="0"/>
                <w:color w:val="auto"/>
                <w:kern w:val="0"/>
                <w:sz w:val="28"/>
                <w:szCs w:val="28"/>
                <w:u w:val="none"/>
                <w:lang w:val="en-US" w:eastAsia="zh-CN" w:bidi="ar-SA"/>
              </w:rPr>
              <w:t>作品要求</w:t>
            </w:r>
          </w:p>
          <w:p w14:paraId="0BFED0B1">
            <w:pPr>
              <w:spacing w:before="20" w:after="20" w:line="300" w:lineRule="auto"/>
              <w:jc w:val="both"/>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1.设计一套</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地标农产品+故事+演艺+团购</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的诈马宴整体体验模式，含菜品体系、故事脚本、演艺节目（歌/舞/小节目至少一种）、宣传片创意方案；</w:t>
            </w:r>
          </w:p>
          <w:p w14:paraId="669BE6E9">
            <w:pPr>
              <w:spacing w:before="20" w:after="20" w:line="300" w:lineRule="auto"/>
              <w:jc w:val="both"/>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2.提出破解三大痛点的具体策略（沉浸体验、自发传播、场域关联）</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体现</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不生硬</w:t>
            </w:r>
            <w:r>
              <w:rPr>
                <w:rFonts w:hint="eastAsia" w:ascii="仿宋_GB2312" w:hAnsi="Calibri" w:eastAsia="仿宋_GB2312" w:cs="Times New Roman"/>
                <w:b w:val="0"/>
                <w:i w:val="0"/>
                <w:strike w:val="0"/>
                <w:color w:val="auto"/>
                <w:kern w:val="0"/>
                <w:sz w:val="28"/>
                <w:szCs w:val="28"/>
                <w:u w:val="none"/>
                <w:lang w:val="en-US" w:eastAsia="zh-CN" w:bidi="ar-SA"/>
              </w:rPr>
              <w:t>”</w:t>
            </w:r>
            <w:r>
              <w:rPr>
                <w:rFonts w:ascii="仿宋_GB2312" w:hAnsi="Calibri" w:eastAsia="仿宋_GB2312" w:cs="Times New Roman"/>
                <w:b w:val="0"/>
                <w:i w:val="0"/>
                <w:strike w:val="0"/>
                <w:color w:val="auto"/>
                <w:kern w:val="0"/>
                <w:sz w:val="28"/>
                <w:szCs w:val="28"/>
                <w:u w:val="none"/>
                <w:lang w:val="en-US" w:eastAsia="zh-CN" w:bidi="ar-SA"/>
              </w:rPr>
              <w:t>的软性设计；</w:t>
            </w:r>
          </w:p>
          <w:p w14:paraId="3A581AE3">
            <w:pPr>
              <w:spacing w:before="20" w:after="20" w:line="300" w:lineRule="auto"/>
              <w:jc w:val="both"/>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3.制定新媒体营销与团购销售方案（抖音/大众点评等），含内容矩阵、定价与转化链路；</w:t>
            </w:r>
          </w:p>
          <w:p w14:paraId="219FBBB1">
            <w:pPr>
              <w:spacing w:before="20" w:after="20" w:line="300" w:lineRule="auto"/>
              <w:jc w:val="both"/>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4.说明与上庄人才论坛、稻田音乐节、鲜碾节、风筝节等文化活动的联动机制；</w:t>
            </w:r>
          </w:p>
          <w:p w14:paraId="021908F5">
            <w:pPr>
              <w:spacing w:before="20" w:after="20" w:line="300" w:lineRule="auto"/>
              <w:jc w:val="both"/>
            </w:pPr>
            <w:r>
              <w:rPr>
                <w:rFonts w:ascii="仿宋_GB2312" w:hAnsi="Calibri" w:eastAsia="仿宋_GB2312" w:cs="Times New Roman"/>
                <w:b w:val="0"/>
                <w:i w:val="0"/>
                <w:strike w:val="0"/>
                <w:color w:val="auto"/>
                <w:kern w:val="0"/>
                <w:sz w:val="28"/>
                <w:szCs w:val="28"/>
                <w:u w:val="none"/>
                <w:lang w:val="en-US" w:eastAsia="zh-CN" w:bidi="ar-SA"/>
              </w:rPr>
              <w:t>5.提交方案文本（Word）+策划案/PPT+关键视觉（菜单、海报、宣传片分镜等）。</w:t>
            </w:r>
          </w:p>
        </w:tc>
      </w:tr>
      <w:tr w14:paraId="4777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06E4FCD5">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企业可提供资源、激励及落地支持：</w:t>
            </w:r>
          </w:p>
          <w:p w14:paraId="0CD4BC2C">
            <w:pPr>
              <w:spacing w:before="20" w:after="20" w:line="300" w:lineRule="auto"/>
              <w:jc w:val="both"/>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1.提供宝格特蒙古包场地、现有餐饮与活动资源对接；</w:t>
            </w:r>
          </w:p>
          <w:p w14:paraId="005FF696">
            <w:pPr>
              <w:spacing w:before="20" w:after="20" w:line="300" w:lineRule="auto"/>
              <w:jc w:val="both"/>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2.提供上庄文化活动（音乐节、鲜碾节、风筝节等）资料与联动接口；</w:t>
            </w:r>
          </w:p>
          <w:p w14:paraId="22035F7B">
            <w:pPr>
              <w:spacing w:before="20" w:after="20" w:line="300" w:lineRule="auto"/>
              <w:jc w:val="both"/>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3.安排专人全程对接答疑，支持实地体验与试运营。</w:t>
            </w:r>
          </w:p>
        </w:tc>
      </w:tr>
    </w:tbl>
    <w:p w14:paraId="303D2495">
      <w:r>
        <w:br w:type="page"/>
      </w:r>
    </w:p>
    <w:p w14:paraId="350577CB">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选题04　上庄中关村稻田音乐艺术节方案策划</w:t>
      </w:r>
    </w:p>
    <w:p w14:paraId="12236A1D">
      <w:pPr>
        <w:rPr>
          <w:rFonts w:hint="eastAsia"/>
        </w:rPr>
      </w:pPr>
    </w:p>
    <w:p w14:paraId="369C8F0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一、单位信息</w:t>
      </w:r>
    </w:p>
    <w:tbl>
      <w:tblPr>
        <w:tblStyle w:val="9"/>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8"/>
        <w:gridCol w:w="246"/>
        <w:gridCol w:w="2354"/>
        <w:gridCol w:w="2354"/>
        <w:gridCol w:w="2357"/>
      </w:tblGrid>
      <w:tr w14:paraId="7ABC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6EC4DD8E">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单位名称</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7D3A4817">
            <w:pPr>
              <w:spacing w:before="20" w:after="60" w:line="300" w:lineRule="auto"/>
              <w:ind w:firstLine="840" w:firstLineChars="3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上庄联拓农业科技发展（北京）有限公司</w:t>
            </w:r>
          </w:p>
        </w:tc>
      </w:tr>
      <w:tr w14:paraId="0980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3844B4BD">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地址</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2655954D">
            <w:pPr>
              <w:spacing w:before="20" w:after="60" w:line="300" w:lineRule="auto"/>
              <w:ind w:firstLine="1960" w:firstLineChars="7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北京市海淀区上庄镇</w:t>
            </w:r>
          </w:p>
        </w:tc>
      </w:tr>
      <w:tr w14:paraId="57F4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19" w:type="dxa"/>
            <w:gridSpan w:val="5"/>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57F9CDF6">
            <w:pPr>
              <w:spacing w:before="20" w:after="20" w:line="300" w:lineRule="auto"/>
              <w:jc w:val="left"/>
            </w:pPr>
            <w:r>
              <w:rPr>
                <w:rFonts w:hint="eastAsia" w:ascii="仿宋_GB2312" w:hAnsi="Calibri" w:eastAsia="仿宋_GB2312" w:cs="Times New Roman"/>
                <w:b/>
                <w:bCs/>
                <w:i w:val="0"/>
                <w:strike w:val="0"/>
                <w:color w:val="auto"/>
                <w:kern w:val="0"/>
                <w:sz w:val="28"/>
                <w:szCs w:val="28"/>
                <w:u w:val="none"/>
                <w:lang w:val="en-US" w:eastAsia="zh-CN" w:bidi="ar-SA"/>
              </w:rPr>
              <w:t>企业简介：</w:t>
            </w:r>
            <w:r>
              <w:rPr>
                <w:rFonts w:ascii="仿宋_GB2312" w:hAnsi="Calibri" w:eastAsia="仿宋_GB2312" w:cs="Times New Roman"/>
                <w:b w:val="0"/>
                <w:i w:val="0"/>
                <w:strike w:val="0"/>
                <w:color w:val="auto"/>
                <w:kern w:val="0"/>
                <w:sz w:val="28"/>
                <w:szCs w:val="28"/>
                <w:u w:val="none"/>
                <w:lang w:val="en-US" w:eastAsia="zh-CN" w:bidi="ar-SA"/>
              </w:rPr>
              <w:t>上庄联拓农业科技发展（北京）有限公司是上庄镇集体经济二级企业，围绕京西稻农业文化遗产保护传承与一二三产融合发展，开展品牌运营、文创开发、农文旅活动策划与园区运营等业务，是本次大赛联合体协助单位与主要出题方之一。</w:t>
            </w:r>
          </w:p>
        </w:tc>
      </w:tr>
      <w:tr w14:paraId="069D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354"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30D62058">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联系人：</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7C19C1BE">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夏</w:t>
            </w:r>
            <w:r>
              <w:rPr>
                <w:rFonts w:hint="eastAsia" w:ascii="仿宋_GB2312" w:eastAsia="仿宋_GB2312" w:cs="Times New Roman"/>
                <w:b w:val="0"/>
                <w:bCs w:val="0"/>
                <w:i w:val="0"/>
                <w:strike w:val="0"/>
                <w:color w:val="auto"/>
                <w:kern w:val="0"/>
                <w:sz w:val="28"/>
                <w:szCs w:val="28"/>
                <w:u w:val="none"/>
                <w:lang w:val="en-US" w:eastAsia="zh-CN" w:bidi="ar-SA"/>
              </w:rPr>
              <w:t>海威</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21667F23">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联系方式：</w:t>
            </w:r>
          </w:p>
        </w:tc>
        <w:tc>
          <w:tcPr>
            <w:tcW w:w="2357"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57F7C6E8">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13269115259</w:t>
            </w:r>
          </w:p>
        </w:tc>
      </w:tr>
    </w:tbl>
    <w:p w14:paraId="5A4429C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二、选题说明</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160"/>
      </w:tblGrid>
      <w:tr w14:paraId="743B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4ED8381E">
            <w:pPr>
              <w:spacing w:before="20" w:after="60" w:line="300" w:lineRule="auto"/>
              <w:ind w:firstLine="560" w:firstLineChars="200"/>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选题题目</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5F685B06">
            <w:pPr>
              <w:spacing w:before="20" w:after="60" w:line="300" w:lineRule="auto"/>
              <w:ind w:firstLine="840" w:firstLineChars="300"/>
              <w:jc w:val="center"/>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上庄中关村稻田音乐艺术节方案策划</w:t>
            </w:r>
          </w:p>
        </w:tc>
      </w:tr>
      <w:tr w14:paraId="4A7E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034E66E1">
            <w:pPr>
              <w:spacing w:before="20" w:after="60" w:line="300" w:lineRule="auto"/>
              <w:ind w:firstLine="560" w:firstLineChars="200"/>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行业领域</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center"/>
          </w:tcPr>
          <w:p w14:paraId="2EEBE794">
            <w:pPr>
              <w:spacing w:before="20" w:after="60" w:line="300" w:lineRule="auto"/>
              <w:ind w:firstLine="840" w:firstLineChars="300"/>
              <w:jc w:val="center"/>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文旅活动策划、音乐艺术、城乡融合、品牌传播</w:t>
            </w:r>
          </w:p>
        </w:tc>
      </w:tr>
      <w:tr w14:paraId="3039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592E5F80">
            <w:pPr>
              <w:spacing w:before="20" w:after="60" w:line="300" w:lineRule="auto"/>
              <w:jc w:val="lef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题目介绍</w:t>
            </w:r>
          </w:p>
          <w:p w14:paraId="6B25BC44">
            <w:pPr>
              <w:spacing w:before="20" w:after="60" w:line="300" w:lineRule="auto"/>
              <w:ind w:firstLine="560" w:firstLineChars="200"/>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中关村稻田音乐艺术节已连续举办两届，今年将举办第三届，现面向创业组征集2027年第四届稻田音乐艺术节整体策划方案。</w:t>
            </w:r>
          </w:p>
          <w:p w14:paraId="72876878">
            <w:pPr>
              <w:spacing w:before="20" w:after="60" w:line="300" w:lineRule="auto"/>
              <w:ind w:firstLine="560" w:firstLineChars="200"/>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auto"/>
                <w:sz w:val="28"/>
                <w:szCs w:val="28"/>
              </w:rPr>
              <w:t>约束条件：1. 活动场地为上庄镇京西稻保护性种植区稻田与林地结合区域；2. 活动在10月国庆节期间举办；3. 两大功能——一方面契合环境，引动音、景的审美共鸣从而吸引人到来；一方面起到桥梁作用，把上庄本地国庆节前后的其他活动有效串联起来。本届方案以“科学与艺术深度融合”为特色，强调可感知、可验证的场域体验设计：鼓励运用声景生态学、民族音乐学与认知神经科学的交叉方法，对场域声景特征及其身心效应进行测评与解释，并据此进行有针对性的声音补偿与调频设计，形成可验证、可迭代的场域音乐体验方案</w:t>
            </w:r>
            <w:r>
              <w:rPr>
                <w:rFonts w:hint="eastAsia" w:ascii="仿宋_GB2312" w:hAnsi="仿宋_GB2312" w:eastAsia="仿宋_GB2312" w:cs="仿宋_GB2312"/>
                <w:b w:val="0"/>
                <w:bCs w:val="0"/>
                <w:color w:val="auto"/>
                <w:sz w:val="28"/>
                <w:szCs w:val="28"/>
                <w:lang w:eastAsia="zh-CN"/>
              </w:rPr>
              <w:t>。</w:t>
            </w:r>
          </w:p>
        </w:tc>
      </w:tr>
      <w:tr w14:paraId="0A21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0E5BBD3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作品要求</w:t>
            </w:r>
          </w:p>
          <w:p w14:paraId="64D12DC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1. 提交2027年第四届稻田音乐艺术节整体策划方案（含主题、阵容/内容、舞台与空间设计、日程、动线、受众定位）；</w:t>
            </w:r>
          </w:p>
          <w:p w14:paraId="5ECE2D1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2. 充分体现“音景融合”（音乐与稻田、林地生态环境的审美共鸣）与“活动串联”（与国庆前后上庄本地活动形成联动）两大核心功能；</w:t>
            </w:r>
          </w:p>
          <w:p w14:paraId="6A3D52A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3. 设计可持续运营模式（不</w:t>
            </w:r>
            <w:r>
              <w:rPr>
                <w:rFonts w:hint="eastAsia" w:ascii="仿宋_GB2312" w:hAnsi="仿宋_GB2312" w:eastAsia="仿宋_GB2312" w:cs="仿宋_GB2312"/>
                <w:b w:val="0"/>
                <w:bCs w:val="0"/>
                <w:color w:val="auto"/>
                <w:sz w:val="28"/>
                <w:szCs w:val="28"/>
                <w:lang w:eastAsia="zh-CN"/>
              </w:rPr>
              <w:t>限</w:t>
            </w:r>
            <w:r>
              <w:rPr>
                <w:rFonts w:hint="eastAsia" w:ascii="仿宋_GB2312" w:hAnsi="仿宋_GB2312" w:eastAsia="仿宋_GB2312" w:cs="仿宋_GB2312"/>
                <w:b w:val="0"/>
                <w:bCs w:val="0"/>
                <w:color w:val="auto"/>
                <w:sz w:val="28"/>
                <w:szCs w:val="28"/>
              </w:rPr>
              <w:t>单届方案），说明如何沉淀品牌、吸引持续参与并形成商业闭环；</w:t>
            </w:r>
          </w:p>
          <w:p w14:paraId="10B8F7D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4. 提交安全保障、应急预案、环保（生态保护种植区）与风险评估方案；</w:t>
            </w:r>
          </w:p>
          <w:p w14:paraId="57588D5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5. 增设场域声景测评与声音调频设计模块：①采集场域环境声学参数与受众身心效应指标，识别声景特征；②以多元音色、频谱与文化语义为创作变量，针对场域特征进行声音补偿与调频；③采用前后测及对照方式，结合生理/心理与行为指标验证体验效能并迭代优化；</w:t>
            </w:r>
          </w:p>
          <w:p w14:paraId="22A9187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6. 预算区间：</w:t>
            </w:r>
            <w:r>
              <w:rPr>
                <w:rFonts w:hint="eastAsia" w:ascii="仿宋_GB2312" w:hAnsi="仿宋_GB2312" w:eastAsia="仿宋_GB2312" w:cs="仿宋_GB2312"/>
                <w:b w:val="0"/>
                <w:bCs w:val="0"/>
                <w:color w:val="auto"/>
                <w:sz w:val="28"/>
                <w:szCs w:val="28"/>
                <w:lang w:eastAsia="zh-CN"/>
              </w:rPr>
              <w:t>设</w:t>
            </w:r>
            <w:r>
              <w:rPr>
                <w:rFonts w:hint="eastAsia" w:ascii="仿宋_GB2312" w:hAnsi="仿宋_GB2312" w:eastAsia="仿宋_GB2312" w:cs="仿宋_GB2312"/>
                <w:b w:val="0"/>
                <w:bCs w:val="0"/>
                <w:color w:val="auto"/>
                <w:sz w:val="28"/>
                <w:szCs w:val="28"/>
              </w:rPr>
              <w:t>40—60万元</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lang w:val="en-US" w:eastAsia="zh-CN"/>
              </w:rPr>
              <w:t>100-200万元；200-300万元三档，由接题团队自主选择区间</w:t>
            </w:r>
            <w:r>
              <w:rPr>
                <w:rFonts w:hint="eastAsia" w:ascii="仿宋_GB2312" w:hAnsi="仿宋_GB2312" w:eastAsia="仿宋_GB2312" w:cs="仿宋_GB2312"/>
                <w:b w:val="0"/>
                <w:bCs w:val="0"/>
                <w:color w:val="auto"/>
                <w:sz w:val="28"/>
                <w:szCs w:val="28"/>
              </w:rPr>
              <w:t>（含舞台音响灯光、艺人/演出、场地搭建与舞美、内容制作与宣传、安保后勤等，不含政府已有公共投入）。</w:t>
            </w:r>
          </w:p>
          <w:p w14:paraId="61E31379">
            <w:pPr>
              <w:spacing w:before="20" w:after="60" w:line="300" w:lineRule="auto"/>
              <w:jc w:val="both"/>
            </w:pPr>
          </w:p>
        </w:tc>
      </w:tr>
      <w:tr w14:paraId="6D07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60F4E432">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企业可提供资源、激励及落地支持：</w:t>
            </w:r>
          </w:p>
          <w:p w14:paraId="21A34931">
            <w:pPr>
              <w:spacing w:before="20" w:after="60" w:line="300" w:lineRule="auto"/>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1.提供前三届音乐节资料、场地数据与现场条件说明；</w:t>
            </w:r>
          </w:p>
          <w:p w14:paraId="021DBE12">
            <w:pPr>
              <w:spacing w:before="20" w:after="60" w:line="300" w:lineRule="auto"/>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2.提供上庄国庆前后本地活动清单与联动接口；</w:t>
            </w:r>
          </w:p>
          <w:p w14:paraId="057990A7">
            <w:pPr>
              <w:spacing w:before="20" w:after="60" w:line="300" w:lineRule="auto"/>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3.安排专人全程对接答疑，支持场地踏勘。</w:t>
            </w:r>
          </w:p>
        </w:tc>
      </w:tr>
    </w:tbl>
    <w:p w14:paraId="6A9883A2">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2640" w:firstLineChars="600"/>
        <w:jc w:val="both"/>
        <w:textAlignment w:val="auto"/>
        <w:rPr>
          <w:rFonts w:hint="eastAsia" w:ascii="方正小标宋简体" w:hAnsi="方正小标宋简体" w:eastAsia="方正小标宋简体" w:cs="方正小标宋简体"/>
          <w:b w:val="0"/>
          <w:bCs w:val="0"/>
          <w:color w:val="000000"/>
          <w:sz w:val="44"/>
          <w:szCs w:val="44"/>
        </w:rPr>
      </w:pPr>
    </w:p>
    <w:p w14:paraId="77F1C987"/>
    <w:p w14:paraId="15ACA794"/>
    <w:p w14:paraId="40D87E56"/>
    <w:p w14:paraId="5F6B380E"/>
    <w:p w14:paraId="72A0F8A3">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7BA5AFCE">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6EA3D809">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583E20CF">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2D3CC87E">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22B71382">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258C285C">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4E364DC5">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02714266">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53937D61">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2920EDCC">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p>
    <w:p w14:paraId="5307386F">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rPr>
        <w:t>选题</w:t>
      </w:r>
      <w:r>
        <w:rPr>
          <w:rFonts w:hint="eastAsia" w:ascii="方正小标宋简体" w:hAnsi="方正小标宋简体" w:eastAsia="方正小标宋简体" w:cs="方正小标宋简体"/>
          <w:b w:val="0"/>
          <w:bCs w:val="0"/>
          <w:color w:val="000000"/>
          <w:sz w:val="44"/>
          <w:szCs w:val="44"/>
          <w:lang w:val="en-US" w:eastAsia="zh-CN"/>
        </w:rPr>
        <w:t>05</w:t>
      </w:r>
      <w:r>
        <w:rPr>
          <w:rFonts w:hint="eastAsia" w:ascii="方正小标宋简体" w:hAnsi="方正小标宋简体" w:eastAsia="方正小标宋简体" w:cs="方正小标宋简体"/>
          <w:b w:val="0"/>
          <w:bCs w:val="0"/>
          <w:color w:val="000000"/>
          <w:sz w:val="44"/>
          <w:szCs w:val="44"/>
        </w:rPr>
        <w:t>　</w:t>
      </w:r>
      <w:r>
        <w:rPr>
          <w:rFonts w:hint="eastAsia" w:ascii="方正小标宋简体" w:hAnsi="方正小标宋简体" w:eastAsia="方正小标宋简体" w:cs="方正小标宋简体"/>
          <w:b w:val="0"/>
          <w:bCs w:val="0"/>
          <w:color w:val="000000"/>
          <w:sz w:val="44"/>
          <w:szCs w:val="44"/>
          <w:lang w:val="en-US" w:eastAsia="zh-CN"/>
        </w:rPr>
        <w:t>首农翠湖工场智慧农业研学数字化体系开发（科普研学平台）</w:t>
      </w:r>
    </w:p>
    <w:p w14:paraId="458A879C">
      <w:pPr>
        <w:rPr>
          <w:rFonts w:hint="eastAsia"/>
        </w:rPr>
      </w:pPr>
    </w:p>
    <w:p w14:paraId="37862EA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一、单位信息</w:t>
      </w:r>
    </w:p>
    <w:tbl>
      <w:tblPr>
        <w:tblStyle w:val="9"/>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8"/>
        <w:gridCol w:w="246"/>
        <w:gridCol w:w="2354"/>
        <w:gridCol w:w="2354"/>
        <w:gridCol w:w="2357"/>
      </w:tblGrid>
      <w:tr w14:paraId="361A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7B6D834B">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单位名称</w:t>
            </w:r>
          </w:p>
        </w:tc>
        <w:tc>
          <w:tcPr>
            <w:tcW w:w="7311" w:type="dxa"/>
            <w:gridSpan w:val="4"/>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7F01CB4E">
            <w:pPr>
              <w:spacing w:before="20" w:after="60" w:line="300" w:lineRule="auto"/>
              <w:ind w:firstLine="1400" w:firstLineChars="50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val="0"/>
                <w:bCs w:val="0"/>
                <w:color w:val="000000"/>
                <w:sz w:val="28"/>
                <w:szCs w:val="28"/>
                <w:lang w:val="en-US" w:eastAsia="zh-CN"/>
              </w:rPr>
              <w:t>北京翠湖农业科技有限公司</w:t>
            </w:r>
          </w:p>
        </w:tc>
      </w:tr>
      <w:tr w14:paraId="7111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575D0BDA">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地址</w:t>
            </w:r>
          </w:p>
        </w:tc>
        <w:tc>
          <w:tcPr>
            <w:tcW w:w="7311" w:type="dxa"/>
            <w:gridSpan w:val="4"/>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7A593C1B">
            <w:pPr>
              <w:spacing w:before="20" w:after="60" w:line="300" w:lineRule="auto"/>
              <w:ind w:firstLine="1680" w:firstLineChars="6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北京市海淀区上庄镇</w:t>
            </w:r>
          </w:p>
        </w:tc>
      </w:tr>
      <w:tr w14:paraId="4543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19" w:type="dxa"/>
            <w:gridSpan w:val="5"/>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33D0C30">
            <w:pPr>
              <w:keepNext w:val="0"/>
              <w:keepLines w:val="0"/>
              <w:pageBreakBefore w:val="0"/>
              <w:widowControl w:val="0"/>
              <w:kinsoku/>
              <w:wordWrap/>
              <w:overflowPunct/>
              <w:topLinePunct w:val="0"/>
              <w:autoSpaceDE/>
              <w:autoSpaceDN/>
              <w:bidi w:val="0"/>
              <w:adjustRightInd/>
              <w:snapToGrid/>
              <w:spacing w:line="560" w:lineRule="exact"/>
              <w:jc w:val="left"/>
              <w:textAlignment w:val="auto"/>
            </w:pPr>
            <w:r>
              <w:rPr>
                <w:rFonts w:hint="eastAsia" w:ascii="仿宋_GB2312" w:hAnsi="Calibri" w:eastAsia="仿宋_GB2312" w:cs="Times New Roman"/>
                <w:b/>
                <w:bCs/>
                <w:i w:val="0"/>
                <w:strike w:val="0"/>
                <w:color w:val="auto"/>
                <w:kern w:val="0"/>
                <w:sz w:val="28"/>
                <w:szCs w:val="28"/>
                <w:u w:val="none"/>
                <w:lang w:val="en-US" w:eastAsia="zh-CN" w:bidi="ar-SA"/>
              </w:rPr>
              <w:t>企业简介：</w:t>
            </w:r>
            <w:r>
              <w:rPr>
                <w:rFonts w:hint="eastAsia" w:ascii="仿宋_GB2312" w:hAnsi="Calibri" w:eastAsia="仿宋_GB2312" w:cs="Times New Roman"/>
                <w:b w:val="0"/>
                <w:i w:val="0"/>
                <w:strike w:val="0"/>
                <w:color w:val="auto"/>
                <w:kern w:val="0"/>
                <w:sz w:val="28"/>
                <w:szCs w:val="28"/>
                <w:u w:val="none"/>
                <w:lang w:val="en-US" w:eastAsia="zh-CN" w:bidi="ar-SA"/>
              </w:rPr>
              <w:t>北京翠湖农业科技有限公司（又称“首农翠湖工场”）是首农食品集团西郊农场全资子公司。公司位于北京市海淀区</w:t>
            </w:r>
            <w:r>
              <w:rPr>
                <w:rFonts w:hint="eastAsia" w:ascii="仿宋_GB2312" w:eastAsia="仿宋_GB2312" w:cs="Times New Roman"/>
                <w:b w:val="0"/>
                <w:i w:val="0"/>
                <w:strike w:val="0"/>
                <w:color w:val="auto"/>
                <w:kern w:val="0"/>
                <w:sz w:val="28"/>
                <w:szCs w:val="28"/>
                <w:u w:val="none"/>
                <w:lang w:val="en-US" w:eastAsia="zh-CN" w:bidi="ar-SA"/>
              </w:rPr>
              <w:t>上庄镇</w:t>
            </w:r>
            <w:r>
              <w:rPr>
                <w:rFonts w:hint="eastAsia" w:ascii="仿宋_GB2312" w:hAnsi="Calibri" w:eastAsia="仿宋_GB2312" w:cs="Times New Roman"/>
                <w:b w:val="0"/>
                <w:i w:val="0"/>
                <w:strike w:val="0"/>
                <w:color w:val="auto"/>
                <w:kern w:val="0"/>
                <w:sz w:val="28"/>
                <w:szCs w:val="28"/>
                <w:u w:val="none"/>
                <w:lang w:val="en-US" w:eastAsia="zh-CN" w:bidi="ar-SA"/>
              </w:rPr>
              <w:t>，占地878亩，规划建设“翠湖智慧农业创新工场”项目，目前已建成21万平方米大型智能连栋温室并全面投产，其中包括15.5万平方米文洛式温室、3.5万平方米半封闭温室、2万平方米育苗及科研展示温室。首农翠湖工场致力于为消费者提供新鲜、美味、安全的高品质果蔬，以科技为依托，通过开展设施农业科技研发及成果转化，建设成为立足海淀、服务北京、辐射全国的设施农业产研融合创新基地。</w:t>
            </w:r>
          </w:p>
        </w:tc>
      </w:tr>
      <w:tr w14:paraId="7D6A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354"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D0A1558">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联系人：</w:t>
            </w:r>
          </w:p>
        </w:tc>
        <w:tc>
          <w:tcPr>
            <w:tcW w:w="2354"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2EEFEC8">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梁岳琳</w:t>
            </w:r>
          </w:p>
        </w:tc>
        <w:tc>
          <w:tcPr>
            <w:tcW w:w="2354"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989491E">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联系方式：</w:t>
            </w:r>
          </w:p>
        </w:tc>
        <w:tc>
          <w:tcPr>
            <w:tcW w:w="2357"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237BF74">
            <w:pPr>
              <w:spacing w:before="20" w:after="20" w:line="300" w:lineRule="auto"/>
              <w:jc w:val="center"/>
              <w:rPr>
                <w:rFonts w:hint="default"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15154109072</w:t>
            </w:r>
          </w:p>
        </w:tc>
      </w:tr>
    </w:tbl>
    <w:p w14:paraId="1FB6E84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二、选题说明</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160"/>
      </w:tblGrid>
      <w:tr w14:paraId="7178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14896718">
            <w:pPr>
              <w:spacing w:before="20" w:after="60" w:line="300" w:lineRule="auto"/>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选题题目</w:t>
            </w:r>
          </w:p>
        </w:tc>
        <w:tc>
          <w:tcPr>
            <w:tcW w:w="7160" w:type="dxa"/>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3A2FD4E2">
            <w:pPr>
              <w:spacing w:before="20" w:after="60" w:line="300" w:lineRule="auto"/>
              <w:jc w:val="both"/>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val="en-US" w:eastAsia="zh-CN"/>
              </w:rPr>
              <w:t>首农翠湖工场智慧农业研学数字化体系开发（科普研学平台）</w:t>
            </w:r>
          </w:p>
        </w:tc>
      </w:tr>
      <w:tr w14:paraId="661D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139EE5E8">
            <w:pPr>
              <w:spacing w:before="20" w:after="60" w:line="300" w:lineRule="auto"/>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行业领域</w:t>
            </w:r>
          </w:p>
        </w:tc>
        <w:tc>
          <w:tcPr>
            <w:tcW w:w="7160" w:type="dxa"/>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1667143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val="en-US" w:eastAsia="zh-CN"/>
              </w:rPr>
              <w:t>数字文旅、智慧研学、智慧农业、科普教育、文旅农产体验运营、小程序产品设计</w:t>
            </w:r>
          </w:p>
        </w:tc>
      </w:tr>
      <w:tr w14:paraId="4415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29092E8">
            <w:pPr>
              <w:spacing w:before="20" w:after="60" w:line="300" w:lineRule="auto"/>
              <w:jc w:val="left"/>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题目介绍：</w:t>
            </w:r>
          </w:p>
          <w:p w14:paraId="5F56734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val="en-US" w:eastAsia="zh-CN"/>
              </w:rPr>
              <w:t>围绕首农翠湖工场智能温室现代化种植场景，开发一套面向青少年、亲子家庭、学校团体的智慧农业研学数字化体系，包含研学小程序 / Web 端平台、智慧采摘体验数字化工具、标准化智慧农业科普课程包。将无土栽培、水肥一体化、AI 温室环控、熊蜂授粉、农业机器人、果蔬溯源等智慧农业硬核知识融入研学全流程，打通线上预约</w:t>
            </w:r>
            <w:r>
              <w:rPr>
                <w:rFonts w:hint="eastAsia" w:ascii="仿宋_GB2312" w:hAnsi="仿宋_GB2312" w:eastAsia="仿宋_GB2312" w:cs="仿宋_GB2312"/>
                <w:b w:val="0"/>
                <w:bCs w:val="0"/>
                <w:color w:val="000000"/>
                <w:sz w:val="28"/>
                <w:szCs w:val="28"/>
                <w:lang w:val="en-US" w:eastAsia="zh-CN"/>
              </w:rPr>
              <w:noBreakHyphen/>
            </w:r>
            <w:r>
              <w:rPr>
                <w:rFonts w:hint="eastAsia" w:ascii="仿宋_GB2312" w:hAnsi="仿宋_GB2312" w:eastAsia="仿宋_GB2312" w:cs="仿宋_GB2312"/>
                <w:b w:val="0"/>
                <w:bCs w:val="0"/>
                <w:color w:val="000000"/>
                <w:sz w:val="28"/>
                <w:szCs w:val="28"/>
                <w:lang w:val="en-US" w:eastAsia="zh-CN"/>
              </w:rPr>
              <w:t>现场研学</w:t>
            </w:r>
            <w:r>
              <w:rPr>
                <w:rFonts w:hint="eastAsia" w:ascii="仿宋_GB2312" w:hAnsi="仿宋_GB2312" w:eastAsia="仿宋_GB2312" w:cs="仿宋_GB2312"/>
                <w:b w:val="0"/>
                <w:bCs w:val="0"/>
                <w:color w:val="000000"/>
                <w:sz w:val="28"/>
                <w:szCs w:val="28"/>
                <w:lang w:val="en-US" w:eastAsia="zh-CN"/>
              </w:rPr>
              <w:noBreakHyphen/>
            </w:r>
            <w:r>
              <w:rPr>
                <w:rFonts w:hint="eastAsia" w:ascii="仿宋_GB2312" w:hAnsi="仿宋_GB2312" w:eastAsia="仿宋_GB2312" w:cs="仿宋_GB2312"/>
                <w:b w:val="0"/>
                <w:bCs w:val="0"/>
                <w:color w:val="000000"/>
                <w:sz w:val="28"/>
                <w:szCs w:val="28"/>
                <w:lang w:val="en-US" w:eastAsia="zh-CN"/>
              </w:rPr>
              <w:t>智慧采摘</w:t>
            </w:r>
            <w:r>
              <w:rPr>
                <w:rFonts w:hint="eastAsia" w:ascii="仿宋_GB2312" w:hAnsi="仿宋_GB2312" w:eastAsia="仿宋_GB2312" w:cs="仿宋_GB2312"/>
                <w:b w:val="0"/>
                <w:bCs w:val="0"/>
                <w:color w:val="000000"/>
                <w:sz w:val="28"/>
                <w:szCs w:val="28"/>
                <w:lang w:val="en-US" w:eastAsia="zh-CN"/>
              </w:rPr>
              <w:noBreakHyphen/>
            </w:r>
            <w:r>
              <w:rPr>
                <w:rFonts w:hint="eastAsia" w:ascii="仿宋_GB2312" w:hAnsi="仿宋_GB2312" w:eastAsia="仿宋_GB2312" w:cs="仿宋_GB2312"/>
                <w:b w:val="0"/>
                <w:bCs w:val="0"/>
                <w:color w:val="000000"/>
                <w:sz w:val="28"/>
                <w:szCs w:val="28"/>
                <w:lang w:val="en-US" w:eastAsia="zh-CN"/>
              </w:rPr>
              <w:t>知识答题</w:t>
            </w:r>
            <w:r>
              <w:rPr>
                <w:rFonts w:hint="eastAsia" w:ascii="仿宋_GB2312" w:hAnsi="仿宋_GB2312" w:eastAsia="仿宋_GB2312" w:cs="仿宋_GB2312"/>
                <w:b w:val="0"/>
                <w:bCs w:val="0"/>
                <w:color w:val="000000"/>
                <w:sz w:val="28"/>
                <w:szCs w:val="28"/>
                <w:lang w:val="en-US" w:eastAsia="zh-CN"/>
              </w:rPr>
              <w:noBreakHyphen/>
            </w:r>
            <w:r>
              <w:rPr>
                <w:rFonts w:hint="eastAsia" w:ascii="仿宋_GB2312" w:hAnsi="仿宋_GB2312" w:eastAsia="仿宋_GB2312" w:cs="仿宋_GB2312"/>
                <w:b w:val="0"/>
                <w:bCs w:val="0"/>
                <w:color w:val="000000"/>
                <w:sz w:val="28"/>
                <w:szCs w:val="28"/>
                <w:lang w:val="en-US" w:eastAsia="zh-CN"/>
              </w:rPr>
              <w:t>成果留存</w:t>
            </w:r>
            <w:r>
              <w:rPr>
                <w:rFonts w:hint="eastAsia" w:ascii="仿宋_GB2312" w:hAnsi="仿宋_GB2312" w:eastAsia="仿宋_GB2312" w:cs="仿宋_GB2312"/>
                <w:b w:val="0"/>
                <w:bCs w:val="0"/>
                <w:color w:val="000000"/>
                <w:sz w:val="28"/>
                <w:szCs w:val="28"/>
                <w:lang w:val="en-US" w:eastAsia="zh-CN"/>
              </w:rPr>
              <w:noBreakHyphen/>
            </w:r>
            <w:r>
              <w:rPr>
                <w:rFonts w:hint="eastAsia" w:ascii="仿宋_GB2312" w:hAnsi="仿宋_GB2312" w:eastAsia="仿宋_GB2312" w:cs="仿宋_GB2312"/>
                <w:b w:val="0"/>
                <w:bCs w:val="0"/>
                <w:color w:val="000000"/>
                <w:sz w:val="28"/>
                <w:szCs w:val="28"/>
                <w:lang w:val="en-US" w:eastAsia="zh-CN"/>
              </w:rPr>
              <w:t>复购引流完整闭环。核心脉络：数字载体赋能科普教育；科创场景转化研学产品；生产场景升级体验消费；线上线下双向联动；实现科普价值、产业价值、品牌价值三重升维。当前现存痛点：现有研学多以参观讲解为主，数字化交互不足；采摘体验缺少趣味引导、溯源互动；研学课程未成标准化体系；缺少面向 C 端的线上数字化工具，难以沉淀用户、扩大传播。</w:t>
            </w:r>
          </w:p>
        </w:tc>
      </w:tr>
      <w:tr w14:paraId="4FA4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AF09BD9">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作品要求</w:t>
            </w:r>
          </w:p>
          <w:p w14:paraId="60E2D925">
            <w:pPr>
              <w:keepNext w:val="0"/>
              <w:keepLines w:val="0"/>
              <w:pageBreakBefore w:val="0"/>
              <w:numPr>
                <w:ilvl w:val="0"/>
                <w:numId w:val="1"/>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设计方案提供可演示的智慧研学小程序（或 Web 原型），包含研学预约、课程介绍、现场 AR/AI 科普交互、智慧采摘引导、果蔬溯源查询、知识闯关答题、研学电子证书、社群引流模块；</w:t>
            </w:r>
          </w:p>
          <w:p w14:paraId="5A6A0333">
            <w:pPr>
              <w:keepNext w:val="0"/>
              <w:keepLines w:val="0"/>
              <w:pageBreakBefore w:val="0"/>
              <w:numPr>
                <w:ilvl w:val="0"/>
                <w:numId w:val="1"/>
              </w:numPr>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结合翠湖工场真实温室生产场景，输出分学段标准化智慧农业科普研学课程包（小学、初中、高中），配套研学任务单、教师指导手册，知识内容和实地参观、采摘体验深度融合，杜绝知识贴片化；</w:t>
            </w:r>
          </w:p>
          <w:p w14:paraId="4816BF1F">
            <w:pPr>
              <w:keepNext w:val="0"/>
              <w:keepLines w:val="0"/>
              <w:pageBreakBefore w:val="0"/>
              <w:numPr>
                <w:ilvl w:val="0"/>
                <w:numId w:val="1"/>
              </w:numPr>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设计智慧采摘体验数字化方案（模拟版）：采摘点位指引、作物生长数据可视化、采摘小任务、采摘成果溯源码，实现从“单纯采摘”升级为“科普+实践+采摘”一体化体验；</w:t>
            </w:r>
          </w:p>
          <w:p w14:paraId="6C544CE6">
            <w:pPr>
              <w:keepNext w:val="0"/>
              <w:keepLines w:val="0"/>
              <w:pageBreakBefore w:val="0"/>
              <w:numPr>
                <w:ilvl w:val="0"/>
                <w:numId w:val="1"/>
              </w:numPr>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pPr>
            <w:r>
              <w:rPr>
                <w:rFonts w:hint="eastAsia" w:ascii="仿宋_GB2312" w:hAnsi="仿宋_GB2312" w:eastAsia="仿宋_GB2312" w:cs="仿宋_GB2312"/>
                <w:b w:val="0"/>
                <w:bCs w:val="0"/>
                <w:color w:val="000000"/>
                <w:sz w:val="28"/>
                <w:szCs w:val="28"/>
                <w:lang w:val="en-US" w:eastAsia="zh-CN"/>
              </w:rPr>
              <w:t>完成产品设计文档 Word + 交互原型/演示PPT录屏，明确目标用户、产品核心循环、知识嵌入机制、现场落地部署方案、运营推广、商业化转化思路；</w:t>
            </w:r>
          </w:p>
        </w:tc>
      </w:tr>
      <w:tr w14:paraId="7AED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B9E3EDB">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企业可提供资源、激励及落地支持：</w:t>
            </w:r>
          </w:p>
          <w:p w14:paraId="6A769FAD">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1、提供翠湖工场智慧农业基础设施设备介绍：种植品类、现场实拍素材、品牌标识授权；</w:t>
            </w:r>
          </w:p>
          <w:p w14:paraId="168C537E">
            <w:pPr>
              <w:keepNext w:val="0"/>
              <w:keepLines w:val="0"/>
              <w:pageBreakBefore w:val="0"/>
              <w:numPr>
                <w:ilvl w:val="0"/>
                <w:numId w:val="2"/>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可园区实地踏勘、温室现场调研、研学活动观摩、采摘场景实地体验机会；</w:t>
            </w:r>
          </w:p>
          <w:p w14:paraId="63A695F7">
            <w:pPr>
              <w:keepNext w:val="0"/>
              <w:keepLines w:val="0"/>
              <w:pageBreakBefore w:val="0"/>
              <w:numPr>
                <w:ilvl w:val="0"/>
                <w:numId w:val="2"/>
              </w:numPr>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企业农旅研学、生产技术部门专人对接，可答疑，提供现有研学业务活动套餐；</w:t>
            </w:r>
          </w:p>
          <w:p w14:paraId="2DCCE1BD">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jc w:val="both"/>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val="en-US" w:eastAsia="zh-CN"/>
              </w:rPr>
              <w:t>4、优秀获奖方案可落地试点运行，纳入企业农文旅研学业务迭代序列，提供场地、场景、活动等用于原型测试及应用。</w:t>
            </w:r>
          </w:p>
        </w:tc>
      </w:tr>
    </w:tbl>
    <w:p w14:paraId="5320A5B8">
      <w:pPr>
        <w:pStyle w:val="3"/>
        <w:keepNext w:val="0"/>
        <w:keepLines w:val="0"/>
        <w:pageBreakBefore w:val="0"/>
        <w:tabs>
          <w:tab w:val="left" w:pos="2256"/>
        </w:tabs>
        <w:kinsoku/>
        <w:wordWrap/>
        <w:overflowPunct/>
        <w:topLinePunct w:val="0"/>
        <w:autoSpaceDE/>
        <w:autoSpaceDN/>
        <w:bidi w:val="0"/>
        <w:adjustRightInd/>
        <w:snapToGrid/>
        <w:spacing w:before="0" w:beforeAutospacing="0" w:after="0" w:afterAutospacing="0" w:line="560" w:lineRule="exact"/>
        <w:textAlignment w:val="auto"/>
        <w:rPr>
          <w:rFonts w:hint="eastAsia" w:eastAsia="思源黑体"/>
          <w:lang w:eastAsia="zh-CN"/>
        </w:rPr>
      </w:pPr>
    </w:p>
    <w:p w14:paraId="489914BE">
      <w:pPr>
        <w:pStyle w:val="11"/>
        <w:numPr>
          <w:ilvl w:val="0"/>
          <w:numId w:val="0"/>
        </w:numPr>
        <w:spacing w:after="40" w:line="300" w:lineRule="auto"/>
        <w:ind w:left="240" w:leftChars="0"/>
      </w:pPr>
    </w:p>
    <w:p w14:paraId="1936C179">
      <w:pPr>
        <w:pStyle w:val="11"/>
        <w:numPr>
          <w:ilvl w:val="0"/>
          <w:numId w:val="0"/>
        </w:numPr>
        <w:spacing w:after="40" w:line="300" w:lineRule="auto"/>
        <w:ind w:left="240" w:leftChars="0"/>
        <w:rPr>
          <w:rFonts w:hint="eastAsia"/>
          <w:lang w:eastAsia="zh-CN"/>
        </w:rPr>
      </w:pPr>
    </w:p>
    <w:p w14:paraId="675845FF">
      <w:pPr>
        <w:pStyle w:val="11"/>
        <w:numPr>
          <w:ilvl w:val="0"/>
          <w:numId w:val="0"/>
        </w:numPr>
        <w:spacing w:after="40" w:line="300" w:lineRule="auto"/>
        <w:ind w:left="240" w:leftChars="0"/>
        <w:rPr>
          <w:rFonts w:hint="eastAsia"/>
          <w:lang w:eastAsia="zh-CN"/>
        </w:rPr>
      </w:pPr>
    </w:p>
    <w:p w14:paraId="6237AB8E"/>
    <w:p w14:paraId="50D22118"/>
    <w:p w14:paraId="1CBA9319">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6E622827">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53068B29">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57F6654F">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3E542993">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7C29797C">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7BE90DF6">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60985D30">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594D0398">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44225598">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501448E9">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14352986">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5CDEECF1">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选题0</w:t>
      </w:r>
      <w:r>
        <w:rPr>
          <w:rFonts w:hint="eastAsia" w:ascii="方正小标宋简体" w:hAnsi="方正小标宋简体" w:eastAsia="方正小标宋简体" w:cs="方正小标宋简体"/>
          <w:b w:val="0"/>
          <w:bCs w:val="0"/>
          <w:color w:val="000000"/>
          <w:sz w:val="44"/>
          <w:szCs w:val="44"/>
          <w:lang w:val="en-US" w:eastAsia="zh-CN"/>
        </w:rPr>
        <w:t xml:space="preserve">6   </w:t>
      </w:r>
      <w:r>
        <w:rPr>
          <w:rFonts w:hint="eastAsia" w:ascii="方正小标宋简体" w:hAnsi="方正小标宋简体" w:eastAsia="方正小标宋简体" w:cs="方正小标宋简体"/>
          <w:b w:val="0"/>
          <w:bCs w:val="0"/>
          <w:color w:val="000000"/>
          <w:sz w:val="44"/>
          <w:szCs w:val="44"/>
        </w:rPr>
        <w:t>基于物联网的鱼菜共生温湿度</w:t>
      </w:r>
    </w:p>
    <w:p w14:paraId="3F255074">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rPr>
        <w:t>检测系统</w:t>
      </w:r>
      <w:r>
        <w:rPr>
          <w:rFonts w:hint="eastAsia" w:ascii="方正小标宋简体" w:hAnsi="方正小标宋简体" w:eastAsia="方正小标宋简体" w:cs="方正小标宋简体"/>
          <w:b w:val="0"/>
          <w:bCs w:val="0"/>
          <w:color w:val="000000"/>
          <w:sz w:val="44"/>
          <w:szCs w:val="44"/>
          <w:lang w:val="en-US" w:eastAsia="zh-CN"/>
        </w:rPr>
        <w:t xml:space="preserve"> </w:t>
      </w:r>
    </w:p>
    <w:p w14:paraId="127A29D3">
      <w:pPr>
        <w:rPr>
          <w:rFonts w:hint="eastAsia"/>
        </w:rPr>
      </w:pPr>
    </w:p>
    <w:p w14:paraId="45420E5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一、单位信息</w:t>
      </w:r>
    </w:p>
    <w:tbl>
      <w:tblPr>
        <w:tblStyle w:val="9"/>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8"/>
        <w:gridCol w:w="246"/>
        <w:gridCol w:w="2354"/>
        <w:gridCol w:w="2354"/>
        <w:gridCol w:w="2357"/>
      </w:tblGrid>
      <w:tr w14:paraId="25F6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08"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1F31C232">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单位名称</w:t>
            </w:r>
          </w:p>
        </w:tc>
        <w:tc>
          <w:tcPr>
            <w:tcW w:w="7311" w:type="dxa"/>
            <w:gridSpan w:val="4"/>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5B13BAA9">
            <w:pPr>
              <w:spacing w:before="20" w:after="60" w:line="300" w:lineRule="auto"/>
              <w:ind w:firstLine="1960" w:firstLineChars="7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北京三元农业有限公司</w:t>
            </w:r>
          </w:p>
        </w:tc>
      </w:tr>
      <w:tr w14:paraId="4819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6B32FAE8">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地址</w:t>
            </w:r>
          </w:p>
        </w:tc>
        <w:tc>
          <w:tcPr>
            <w:tcW w:w="7311" w:type="dxa"/>
            <w:gridSpan w:val="4"/>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658195CB">
            <w:pPr>
              <w:spacing w:before="20" w:after="60" w:line="300" w:lineRule="auto"/>
              <w:ind w:firstLine="1960" w:firstLineChars="7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北京市海淀区上庄镇</w:t>
            </w:r>
          </w:p>
        </w:tc>
      </w:tr>
      <w:tr w14:paraId="77A2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19" w:type="dxa"/>
            <w:gridSpan w:val="5"/>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A0661E3">
            <w:pPr>
              <w:keepNext w:val="0"/>
              <w:keepLines w:val="0"/>
              <w:pageBreakBefore w:val="0"/>
              <w:widowControl w:val="0"/>
              <w:kinsoku/>
              <w:wordWrap/>
              <w:overflowPunct/>
              <w:topLinePunct w:val="0"/>
              <w:autoSpaceDE/>
              <w:autoSpaceDN/>
              <w:bidi w:val="0"/>
              <w:adjustRightInd/>
              <w:snapToGrid/>
              <w:spacing w:line="560" w:lineRule="exact"/>
              <w:jc w:val="left"/>
              <w:textAlignment w:val="auto"/>
            </w:pPr>
            <w:r>
              <w:rPr>
                <w:rFonts w:hint="eastAsia" w:ascii="仿宋_GB2312" w:hAnsi="Calibri" w:eastAsia="仿宋_GB2312" w:cs="Times New Roman"/>
                <w:b/>
                <w:bCs/>
                <w:i w:val="0"/>
                <w:strike w:val="0"/>
                <w:color w:val="auto"/>
                <w:kern w:val="0"/>
                <w:sz w:val="28"/>
                <w:szCs w:val="28"/>
                <w:u w:val="none"/>
                <w:lang w:val="en-US" w:eastAsia="zh-CN" w:bidi="ar-SA"/>
              </w:rPr>
              <w:t>企业简介：</w:t>
            </w:r>
            <w:r>
              <w:rPr>
                <w:rFonts w:hint="eastAsia" w:ascii="仿宋_GB2312" w:hAnsi="Calibri" w:eastAsia="仿宋_GB2312" w:cs="Times New Roman"/>
                <w:b w:val="0"/>
                <w:i w:val="0"/>
                <w:strike w:val="0"/>
                <w:color w:val="auto"/>
                <w:kern w:val="0"/>
                <w:sz w:val="28"/>
                <w:szCs w:val="28"/>
                <w:u w:val="none"/>
                <w:lang w:val="en-US" w:eastAsia="zh-CN" w:bidi="ar-SA"/>
              </w:rPr>
              <w:t>北京三元农业有限公司是首农食品集团西郊农场全资子公司，是海淀上庄镇现代都市型农业代表企业，园区1000余亩，业务覆盖蔬菜/水果/花卉种植、市民农园、休闲观光、科普教育、农产品配送等。园区已落地鱼菜共生、连栋智能温室、空中草莓、蓝莓、立体栽培等科技农业场景，是北京市休闲农业五星级园区、北京市/海淀区科普基地。</w:t>
            </w:r>
          </w:p>
        </w:tc>
      </w:tr>
      <w:tr w14:paraId="1214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354"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4623630">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联系人：</w:t>
            </w:r>
          </w:p>
        </w:tc>
        <w:tc>
          <w:tcPr>
            <w:tcW w:w="2354"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EBFC434">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刘佳</w:t>
            </w:r>
          </w:p>
        </w:tc>
        <w:tc>
          <w:tcPr>
            <w:tcW w:w="2354"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1418D700">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联系方式：</w:t>
            </w:r>
          </w:p>
        </w:tc>
        <w:tc>
          <w:tcPr>
            <w:tcW w:w="2357"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2407F24">
            <w:pPr>
              <w:spacing w:before="20" w:after="20" w:line="300" w:lineRule="auto"/>
              <w:jc w:val="center"/>
              <w:rPr>
                <w:rFonts w:hint="default"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18611077663</w:t>
            </w:r>
          </w:p>
        </w:tc>
      </w:tr>
    </w:tbl>
    <w:p w14:paraId="24152D9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二、选题说明</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160"/>
      </w:tblGrid>
      <w:tr w14:paraId="309B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284EBE90">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选题题目</w:t>
            </w:r>
          </w:p>
        </w:tc>
        <w:tc>
          <w:tcPr>
            <w:tcW w:w="7160" w:type="dxa"/>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69BC38C7">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基于物联网的鱼菜共生温湿度检测系统</w:t>
            </w:r>
          </w:p>
        </w:tc>
      </w:tr>
      <w:tr w14:paraId="1D47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26282FD6">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行业领域</w:t>
            </w:r>
          </w:p>
        </w:tc>
        <w:tc>
          <w:tcPr>
            <w:tcW w:w="7160" w:type="dxa"/>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4FF0A069">
            <w:pPr>
              <w:spacing w:before="20" w:after="20" w:line="300" w:lineRule="auto"/>
              <w:jc w:val="left"/>
              <w:rPr>
                <w:rFonts w:hint="default" w:ascii="仿宋_GB2312" w:hAnsi="Calibri" w:eastAsia="仿宋_GB2312" w:cs="Times New Roman"/>
                <w:b w:val="0"/>
                <w:i w:val="0"/>
                <w:strike w:val="0"/>
                <w:color w:val="auto"/>
                <w:kern w:val="0"/>
                <w:sz w:val="28"/>
                <w:szCs w:val="28"/>
                <w:u w:val="none"/>
                <w:lang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智慧农业、物联网、设施农业、鱼菜共生、环境感知</w:t>
            </w:r>
            <w:r>
              <w:rPr>
                <w:rFonts w:hint="default" w:ascii="仿宋_GB2312" w:hAnsi="Calibri" w:eastAsia="仿宋_GB2312" w:cs="Times New Roman"/>
                <w:b w:val="0"/>
                <w:i w:val="0"/>
                <w:strike w:val="0"/>
                <w:color w:val="auto"/>
                <w:kern w:val="0"/>
                <w:sz w:val="28"/>
                <w:szCs w:val="28"/>
                <w:u w:val="none"/>
                <w:lang w:eastAsia="zh-CN" w:bidi="ar-SA"/>
              </w:rPr>
              <w:t>、AI模型应用</w:t>
            </w:r>
          </w:p>
        </w:tc>
      </w:tr>
      <w:tr w14:paraId="0A0F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57B12A0">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i w:val="0"/>
                <w:strike w:val="0"/>
                <w:color w:val="auto"/>
                <w:kern w:val="0"/>
                <w:sz w:val="28"/>
                <w:szCs w:val="28"/>
                <w:u w:val="none"/>
                <w:lang w:val="en-US" w:eastAsia="zh-CN" w:bidi="ar-SA"/>
              </w:rPr>
            </w:pPr>
            <w:r>
              <w:rPr>
                <w:rFonts w:hint="eastAsia" w:ascii="仿宋_GB2312" w:hAnsi="仿宋_GB2312" w:eastAsia="仿宋_GB2312" w:cs="仿宋_GB2312"/>
                <w:b/>
                <w:bCs/>
                <w:i w:val="0"/>
                <w:strike w:val="0"/>
                <w:color w:val="auto"/>
                <w:kern w:val="0"/>
                <w:sz w:val="28"/>
                <w:szCs w:val="28"/>
                <w:u w:val="none"/>
                <w:lang w:val="en-US" w:eastAsia="zh-CN" w:bidi="ar-SA"/>
              </w:rPr>
              <w:t>题目介绍</w:t>
            </w:r>
          </w:p>
          <w:p w14:paraId="77C96ECB">
            <w:pPr>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i w:val="0"/>
                <w:strike w:val="0"/>
                <w:color w:val="auto"/>
                <w:kern w:val="0"/>
                <w:sz w:val="28"/>
                <w:szCs w:val="28"/>
                <w:u w:val="none"/>
                <w:lang w:val="en-US" w:eastAsia="zh-CN" w:bidi="ar-SA"/>
              </w:rPr>
            </w:pPr>
            <w:r>
              <w:rPr>
                <w:rFonts w:hint="eastAsia" w:ascii="仿宋_GB2312" w:hAnsi="仿宋_GB2312" w:eastAsia="仿宋_GB2312" w:cs="仿宋_GB2312"/>
                <w:b w:val="0"/>
                <w:i w:val="0"/>
                <w:strike w:val="0"/>
                <w:color w:val="auto"/>
                <w:kern w:val="0"/>
                <w:sz w:val="28"/>
                <w:szCs w:val="28"/>
                <w:u w:val="none"/>
                <w:lang w:val="en-US" w:eastAsia="zh-CN" w:bidi="ar-SA"/>
              </w:rPr>
              <w:t>三元农业正在推进鱼菜共生系统升级改造。鱼菜共生系统中，空气温湿度直接影响蔬菜蒸腾、病害风险和人员参观体验；鱼池周边湿度、温室昼夜温差也会影响养殖与种植平衡</w:t>
            </w:r>
            <w:r>
              <w:rPr>
                <w:rFonts w:hint="default" w:ascii="仿宋_GB2312" w:hAnsi="仿宋_GB2312" w:eastAsia="仿宋_GB2312" w:cs="仿宋_GB2312"/>
                <w:b w:val="0"/>
                <w:i w:val="0"/>
                <w:strike w:val="0"/>
                <w:color w:val="auto"/>
                <w:kern w:val="0"/>
                <w:sz w:val="28"/>
                <w:szCs w:val="28"/>
                <w:u w:val="none"/>
                <w:lang w:eastAsia="zh-CN" w:bidi="ar-SA"/>
              </w:rPr>
              <w:t>、水质环境直接影响鱼、蔬菜的产出质量</w:t>
            </w:r>
            <w:r>
              <w:rPr>
                <w:rFonts w:hint="eastAsia" w:ascii="仿宋_GB2312" w:hAnsi="仿宋_GB2312" w:eastAsia="仿宋_GB2312" w:cs="仿宋_GB2312"/>
                <w:b w:val="0"/>
                <w:i w:val="0"/>
                <w:strike w:val="0"/>
                <w:color w:val="auto"/>
                <w:kern w:val="0"/>
                <w:sz w:val="28"/>
                <w:szCs w:val="28"/>
                <w:u w:val="none"/>
                <w:lang w:val="en-US" w:eastAsia="zh-CN" w:bidi="ar-SA"/>
              </w:rPr>
              <w:t>。当前园区虽有温室物联网基础，但鱼菜共生场景存在“温、湿、水、气”数据分散、</w:t>
            </w:r>
            <w:r>
              <w:rPr>
                <w:rFonts w:hint="default" w:ascii="仿宋_GB2312" w:hAnsi="仿宋_GB2312" w:eastAsia="仿宋_GB2312" w:cs="仿宋_GB2312"/>
                <w:b w:val="0"/>
                <w:i w:val="0"/>
                <w:strike w:val="0"/>
                <w:color w:val="auto"/>
                <w:kern w:val="0"/>
                <w:sz w:val="28"/>
                <w:szCs w:val="28"/>
                <w:u w:val="none"/>
                <w:lang w:eastAsia="zh-CN" w:bidi="ar-SA"/>
              </w:rPr>
              <w:t>水质检测及温湿度等监测</w:t>
            </w:r>
            <w:r>
              <w:rPr>
                <w:rFonts w:hint="eastAsia" w:ascii="仿宋_GB2312" w:hAnsi="仿宋_GB2312" w:eastAsia="仿宋_GB2312" w:cs="仿宋_GB2312"/>
                <w:b w:val="0"/>
                <w:i w:val="0"/>
                <w:strike w:val="0"/>
                <w:color w:val="auto"/>
                <w:kern w:val="0"/>
                <w:sz w:val="28"/>
                <w:szCs w:val="28"/>
                <w:u w:val="none"/>
                <w:lang w:val="en-US" w:eastAsia="zh-CN" w:bidi="ar-SA"/>
              </w:rPr>
              <w:t>告警滞后、科普展示弱、</w:t>
            </w:r>
            <w:r>
              <w:rPr>
                <w:rFonts w:hint="default" w:ascii="仿宋_GB2312" w:hAnsi="仿宋_GB2312" w:eastAsia="仿宋_GB2312" w:cs="仿宋_GB2312"/>
                <w:b w:val="0"/>
                <w:i w:val="0"/>
                <w:strike w:val="0"/>
                <w:color w:val="auto"/>
                <w:kern w:val="0"/>
                <w:sz w:val="28"/>
                <w:szCs w:val="28"/>
                <w:u w:val="none"/>
                <w:lang w:eastAsia="zh-CN" w:bidi="ar-SA"/>
              </w:rPr>
              <w:t>喂养缺乏自动化设备</w:t>
            </w:r>
            <w:r>
              <w:rPr>
                <w:rFonts w:hint="eastAsia" w:ascii="仿宋_GB2312" w:hAnsi="仿宋_GB2312" w:eastAsia="仿宋_GB2312" w:cs="仿宋_GB2312"/>
                <w:b w:val="0"/>
                <w:i w:val="0"/>
                <w:strike w:val="0"/>
                <w:color w:val="auto"/>
                <w:kern w:val="0"/>
                <w:sz w:val="28"/>
                <w:szCs w:val="28"/>
                <w:u w:val="none"/>
                <w:lang w:val="en-US" w:eastAsia="zh-CN" w:bidi="ar-SA"/>
              </w:rPr>
              <w:t>等问题。</w:t>
            </w:r>
          </w:p>
          <w:p w14:paraId="2F617106">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核心脉络</w:t>
            </w:r>
          </w:p>
          <w:p w14:paraId="021E7FAF">
            <w:pPr>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i w:val="0"/>
                <w:strike w:val="0"/>
                <w:color w:val="auto"/>
                <w:kern w:val="0"/>
                <w:sz w:val="28"/>
                <w:szCs w:val="28"/>
                <w:u w:val="none"/>
                <w:lang w:val="en-US" w:eastAsia="zh-CN" w:bidi="ar-SA"/>
              </w:rPr>
            </w:pPr>
            <w:r>
              <w:rPr>
                <w:rFonts w:hint="eastAsia" w:ascii="仿宋_GB2312" w:hAnsi="仿宋_GB2312" w:eastAsia="仿宋_GB2312" w:cs="仿宋_GB2312"/>
                <w:b w:val="0"/>
                <w:i w:val="0"/>
                <w:strike w:val="0"/>
                <w:color w:val="auto"/>
                <w:kern w:val="0"/>
                <w:sz w:val="28"/>
                <w:szCs w:val="28"/>
                <w:u w:val="none"/>
                <w:lang w:val="en-US" w:eastAsia="zh-CN" w:bidi="ar-SA"/>
              </w:rPr>
              <w:t>本题要求参赛团队面向三元农业智能温室大棚中的鱼菜共生区，设计一套低成本、可部署、可演示的物联网温湿度检测系统，实现“端—边—云—屏”贯通：多节点采集空气温湿度、水体周边湿度、温室内外温差等关键参数，云端/本地可视化，超限告警，并能服务生产管理、科普展示和研学体验。</w:t>
            </w:r>
          </w:p>
          <w:p w14:paraId="42168AD8">
            <w:pPr>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b w:val="0"/>
                <w:i w:val="0"/>
                <w:strike w:val="0"/>
                <w:color w:val="auto"/>
                <w:kern w:val="0"/>
                <w:sz w:val="28"/>
                <w:szCs w:val="28"/>
                <w:u w:val="none"/>
                <w:lang w:eastAsia="zh-CN" w:bidi="ar-SA"/>
              </w:rPr>
            </w:pPr>
            <w:r>
              <w:rPr>
                <w:rFonts w:hint="default" w:ascii="仿宋_GB2312" w:hAnsi="仿宋_GB2312" w:eastAsia="仿宋_GB2312" w:cs="仿宋_GB2312"/>
                <w:b w:val="0"/>
                <w:i w:val="0"/>
                <w:strike w:val="0"/>
                <w:color w:val="auto"/>
                <w:kern w:val="0"/>
                <w:sz w:val="28"/>
                <w:szCs w:val="28"/>
                <w:u w:val="none"/>
                <w:lang w:eastAsia="zh-CN" w:bidi="ar-SA"/>
              </w:rPr>
              <w:t>同时针对鱼菜共生养殖系统，开发一系列针对性的智能化升级方案。包含利用长短期记忆网络（LSTM）等模型预测产量与生长；通过监测鱼类行为实现自动化精准投喂、预警异常数据及疾病监测；构建虚拟镜像系统，模拟和优化运行策略。</w:t>
            </w:r>
          </w:p>
        </w:tc>
      </w:tr>
      <w:tr w14:paraId="279A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2DFD864">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bCs/>
                <w:color w:val="000000"/>
                <w:sz w:val="28"/>
                <w:szCs w:val="28"/>
              </w:rPr>
              <w:t>作品要求</w:t>
            </w:r>
          </w:p>
          <w:p w14:paraId="3469734D">
            <w:pPr>
              <w:pStyle w:val="11"/>
              <w:keepNext w:val="0"/>
              <w:keepLines w:val="0"/>
              <w:pageBreakBefore w:val="0"/>
              <w:numPr>
                <w:ilvl w:val="0"/>
                <w:numId w:val="3"/>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highlight w:val="none"/>
              </w:rPr>
              <w:t>完成</w:t>
            </w:r>
            <w:r>
              <w:rPr>
                <w:rFonts w:hint="eastAsia" w:ascii="仿宋_GB2312" w:hAnsi="仿宋_GB2312" w:eastAsia="仿宋_GB2312" w:cs="仿宋_GB2312"/>
                <w:b w:val="0"/>
                <w:bCs w:val="0"/>
                <w:color w:val="000000"/>
                <w:sz w:val="28"/>
                <w:szCs w:val="28"/>
              </w:rPr>
              <w:t>可演示的物联网温湿度检测系统原型，至少覆盖：温室空气温度、湿度、鱼池水温/种植槽周边湿度等参数；</w:t>
            </w:r>
            <w:r>
              <w:rPr>
                <w:rFonts w:hint="default" w:ascii="仿宋_GB2312" w:hAnsi="仿宋_GB2312" w:eastAsia="仿宋_GB2312" w:cs="仿宋_GB2312"/>
                <w:b w:val="0"/>
                <w:bCs w:val="0"/>
                <w:color w:val="000000"/>
                <w:sz w:val="28"/>
                <w:szCs w:val="28"/>
              </w:rPr>
              <w:t>涵盖</w:t>
            </w:r>
            <w:r>
              <w:rPr>
                <w:rFonts w:hint="eastAsia" w:ascii="仿宋_GB2312" w:hAnsi="仿宋_GB2312" w:eastAsia="仿宋_GB2312" w:cs="仿宋_GB2312"/>
                <w:b w:val="0"/>
                <w:bCs w:val="0"/>
                <w:color w:val="000000"/>
                <w:sz w:val="28"/>
                <w:szCs w:val="28"/>
              </w:rPr>
              <w:t>设计“生产管护 + 科普研学”双模式</w:t>
            </w:r>
            <w:r>
              <w:rPr>
                <w:rFonts w:hint="default" w:ascii="仿宋_GB2312" w:hAnsi="仿宋_GB2312" w:eastAsia="仿宋_GB2312" w:cs="仿宋_GB2312"/>
                <w:b w:val="0"/>
                <w:bCs w:val="0"/>
                <w:color w:val="000000"/>
                <w:sz w:val="28"/>
                <w:szCs w:val="28"/>
              </w:rPr>
              <w:t>，</w:t>
            </w:r>
            <w:r>
              <w:rPr>
                <w:rFonts w:hint="eastAsia" w:ascii="仿宋_GB2312" w:hAnsi="仿宋_GB2312" w:eastAsia="仿宋_GB2312" w:cs="仿宋_GB2312"/>
                <w:b w:val="0"/>
                <w:bCs w:val="0"/>
                <w:color w:val="000000"/>
                <w:sz w:val="28"/>
                <w:szCs w:val="28"/>
              </w:rPr>
              <w:t>实现数据采集—无线传输—平台展示—阈值告警闭环，支持 Wi-Fi / 蓝牙等至少一种通信方式；提供本地显示屏和app，展示实数据、异常温湿度值；温湿度越限时通过app消息等方式告警</w:t>
            </w:r>
            <w:r>
              <w:rPr>
                <w:rFonts w:hint="default" w:ascii="仿宋_GB2312" w:hAnsi="仿宋_GB2312" w:eastAsia="仿宋_GB2312" w:cs="仿宋_GB2312"/>
                <w:b w:val="0"/>
                <w:bCs w:val="0"/>
                <w:color w:val="000000"/>
                <w:sz w:val="28"/>
                <w:szCs w:val="28"/>
              </w:rPr>
              <w:t>。</w:t>
            </w:r>
          </w:p>
          <w:p w14:paraId="3F1A87C5">
            <w:pPr>
              <w:pStyle w:val="11"/>
              <w:keepNext w:val="0"/>
              <w:keepLines w:val="0"/>
              <w:pageBreakBefore w:val="0"/>
              <w:numPr>
                <w:ilvl w:val="0"/>
                <w:numId w:val="3"/>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000000"/>
                <w:sz w:val="28"/>
                <w:szCs w:val="28"/>
              </w:rPr>
            </w:pPr>
            <w:r>
              <w:rPr>
                <w:rFonts w:hint="default" w:ascii="仿宋_GB2312" w:hAnsi="仿宋_GB2312" w:eastAsia="仿宋_GB2312" w:cs="仿宋_GB2312"/>
                <w:b w:val="0"/>
                <w:bCs w:val="0"/>
                <w:color w:val="000000"/>
                <w:sz w:val="28"/>
                <w:szCs w:val="28"/>
              </w:rPr>
              <w:t>产量与生长预测：利用长短期记忆网络（LSTM）等模型预测鱼类生物量、蔬菜产量、营养素浓度等</w:t>
            </w:r>
          </w:p>
          <w:p w14:paraId="3BB08E51">
            <w:pPr>
              <w:pStyle w:val="11"/>
              <w:keepNext w:val="0"/>
              <w:keepLines w:val="0"/>
              <w:pageBreakBefore w:val="0"/>
              <w:numPr>
                <w:ilvl w:val="0"/>
                <w:numId w:val="3"/>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000000"/>
                <w:sz w:val="28"/>
                <w:szCs w:val="28"/>
              </w:rPr>
            </w:pPr>
            <w:r>
              <w:rPr>
                <w:rFonts w:hint="default" w:ascii="仿宋_GB2312" w:hAnsi="仿宋_GB2312" w:eastAsia="仿宋_GB2312" w:cs="仿宋_GB2312"/>
                <w:b w:val="0"/>
                <w:bCs w:val="0"/>
                <w:color w:val="000000"/>
                <w:sz w:val="28"/>
                <w:szCs w:val="28"/>
              </w:rPr>
              <w:t>精准投喂：通过AI分析鱼类摄食行为，动态调整投喂量和频率，避免浪费和水质恶化</w:t>
            </w:r>
          </w:p>
          <w:p w14:paraId="326A6007">
            <w:pPr>
              <w:pStyle w:val="11"/>
              <w:keepNext w:val="0"/>
              <w:keepLines w:val="0"/>
              <w:pageBreakBefore w:val="0"/>
              <w:numPr>
                <w:ilvl w:val="0"/>
                <w:numId w:val="3"/>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000000"/>
                <w:sz w:val="28"/>
                <w:szCs w:val="28"/>
              </w:rPr>
            </w:pPr>
            <w:r>
              <w:rPr>
                <w:rFonts w:hint="default" w:ascii="仿宋_GB2312" w:hAnsi="仿宋_GB2312" w:eastAsia="仿宋_GB2312" w:cs="仿宋_GB2312"/>
                <w:b w:val="0"/>
                <w:bCs w:val="0"/>
                <w:color w:val="000000"/>
                <w:sz w:val="28"/>
                <w:szCs w:val="28"/>
              </w:rPr>
              <w:t>异常与疾病检测：利用图像识别技术检测鱼类行为异常、植物病害，以及传感器漂移等数据异常</w:t>
            </w:r>
          </w:p>
          <w:p w14:paraId="0F062BEE">
            <w:pPr>
              <w:pStyle w:val="11"/>
              <w:keepNext w:val="0"/>
              <w:keepLines w:val="0"/>
              <w:pageBreakBefore w:val="0"/>
              <w:numPr>
                <w:ilvl w:val="0"/>
                <w:numId w:val="3"/>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000000"/>
                <w:sz w:val="28"/>
                <w:szCs w:val="28"/>
              </w:rPr>
            </w:pPr>
            <w:r>
              <w:rPr>
                <w:rFonts w:hint="default" w:ascii="仿宋_GB2312" w:hAnsi="仿宋_GB2312" w:eastAsia="仿宋_GB2312" w:cs="仿宋_GB2312"/>
                <w:b w:val="0"/>
                <w:bCs w:val="0"/>
                <w:color w:val="000000"/>
                <w:sz w:val="28"/>
                <w:szCs w:val="28"/>
              </w:rPr>
              <w:t>决策支持系统（DSS）：集成知识库和AI模型，为运维人员提供优化建议</w:t>
            </w:r>
          </w:p>
          <w:p w14:paraId="56236C2D">
            <w:pPr>
              <w:pStyle w:val="11"/>
              <w:keepNext w:val="0"/>
              <w:keepLines w:val="0"/>
              <w:pageBreakBefore w:val="0"/>
              <w:numPr>
                <w:ilvl w:val="0"/>
                <w:numId w:val="3"/>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000000"/>
                <w:sz w:val="28"/>
                <w:szCs w:val="28"/>
              </w:rPr>
            </w:pPr>
            <w:r>
              <w:rPr>
                <w:rFonts w:hint="default" w:ascii="仿宋_GB2312" w:hAnsi="仿宋_GB2312" w:eastAsia="仿宋_GB2312" w:cs="仿宋_GB2312"/>
                <w:b w:val="0"/>
                <w:bCs w:val="0"/>
                <w:color w:val="000000"/>
                <w:sz w:val="28"/>
                <w:szCs w:val="28"/>
              </w:rPr>
              <w:t>数字孪生：构建虚拟镜像系统，模拟和优化运行策略</w:t>
            </w:r>
          </w:p>
          <w:p w14:paraId="10E77A2B">
            <w:pPr>
              <w:pStyle w:val="11"/>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提交：</w:t>
            </w:r>
            <w:r>
              <w:rPr>
                <w:rFonts w:hint="default" w:ascii="仿宋_GB2312" w:hAnsi="仿宋_GB2312" w:eastAsia="仿宋_GB2312" w:cs="仿宋_GB2312"/>
                <w:b w:val="0"/>
                <w:bCs w:val="0"/>
                <w:color w:val="000000"/>
                <w:sz w:val="28"/>
                <w:szCs w:val="28"/>
              </w:rPr>
              <w:t>上述涉及的两项以上设计方案，包括</w:t>
            </w:r>
            <w:r>
              <w:rPr>
                <w:rFonts w:hint="eastAsia" w:ascii="仿宋_GB2312" w:hAnsi="仿宋_GB2312" w:eastAsia="仿宋_GB2312" w:cs="仿宋_GB2312"/>
                <w:b w:val="0"/>
                <w:bCs w:val="0"/>
                <w:color w:val="000000"/>
                <w:sz w:val="28"/>
                <w:szCs w:val="28"/>
              </w:rPr>
              <w:t>产品设计文档（Word）+ 硬件原型/接线图/部署图 + app/小程序界面截图 + 演示视频（PPT或录屏），说明系统架构、功耗、成本、运维方案。</w:t>
            </w:r>
          </w:p>
        </w:tc>
      </w:tr>
      <w:tr w14:paraId="757B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A04D595">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企业可提供资源、激励及落地支持：</w:t>
            </w:r>
          </w:p>
          <w:p w14:paraId="3ABB3581">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1.三元农业智能温室、鱼菜共生区场地条件；</w:t>
            </w:r>
          </w:p>
          <w:p w14:paraId="64D99821">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2.支持实地调研、温室踏勘、鱼菜共生项目现场对接；</w:t>
            </w:r>
          </w:p>
          <w:p w14:paraId="460079C8">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3.安排专人（出题方）全程答疑。</w:t>
            </w:r>
          </w:p>
        </w:tc>
      </w:tr>
    </w:tbl>
    <w:p w14:paraId="0E9D9D3B">
      <w:pPr>
        <w:pStyle w:val="2"/>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方正小标宋简体" w:hAnsi="方正小标宋简体" w:eastAsia="方正小标宋简体" w:cs="方正小标宋简体"/>
          <w:b w:val="0"/>
          <w:bCs w:val="0"/>
          <w:color w:val="000000"/>
          <w:sz w:val="44"/>
          <w:szCs w:val="44"/>
        </w:rPr>
      </w:pPr>
    </w:p>
    <w:p w14:paraId="5DA51145">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6D1CC884">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48189B9C">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2865D638">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58FCF2A8">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16938357">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70F651FA">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1B1A510F">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440" w:firstLineChars="100"/>
        <w:jc w:val="both"/>
        <w:textAlignment w:val="auto"/>
        <w:rPr>
          <w:rFonts w:hint="eastAsia" w:ascii="方正小标宋简体" w:hAnsi="方正小标宋简体" w:eastAsia="方正小标宋简体" w:cs="方正小标宋简体"/>
          <w:b w:val="0"/>
          <w:bCs w:val="0"/>
          <w:color w:val="000000"/>
          <w:sz w:val="44"/>
          <w:szCs w:val="44"/>
        </w:rPr>
      </w:pPr>
    </w:p>
    <w:p w14:paraId="1A4A25FE">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440" w:firstLineChars="100"/>
        <w:jc w:val="both"/>
        <w:textAlignment w:val="auto"/>
        <w:rPr>
          <w:rFonts w:hint="default"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rPr>
        <w:t>选</w:t>
      </w:r>
      <w:r>
        <w:rPr>
          <w:rFonts w:hint="eastAsia" w:ascii="方正小标宋简体" w:hAnsi="方正小标宋简体" w:eastAsia="方正小标宋简体" w:cs="方正小标宋简体"/>
          <w:b w:val="0"/>
          <w:bCs w:val="0"/>
          <w:color w:val="000000"/>
          <w:sz w:val="44"/>
          <w:szCs w:val="44"/>
          <w:lang w:val="en-US" w:eastAsia="zh-CN"/>
        </w:rPr>
        <w:t>题</w:t>
      </w:r>
      <w:r>
        <w:rPr>
          <w:rFonts w:hint="eastAsia" w:ascii="方正小标宋简体" w:hAnsi="方正小标宋简体" w:eastAsia="方正小标宋简体" w:cs="方正小标宋简体"/>
          <w:b w:val="0"/>
          <w:bCs w:val="0"/>
          <w:color w:val="000000"/>
          <w:sz w:val="44"/>
          <w:szCs w:val="44"/>
        </w:rPr>
        <w:t>0</w:t>
      </w:r>
      <w:r>
        <w:rPr>
          <w:rFonts w:hint="eastAsia" w:ascii="方正小标宋简体" w:hAnsi="方正小标宋简体" w:eastAsia="方正小标宋简体" w:cs="方正小标宋简体"/>
          <w:b w:val="0"/>
          <w:bCs w:val="0"/>
          <w:color w:val="000000"/>
          <w:sz w:val="44"/>
          <w:szCs w:val="44"/>
          <w:lang w:val="en-US" w:eastAsia="zh-CN"/>
        </w:rPr>
        <w:t>7 农业斯巴达技能运动会方案策划</w:t>
      </w:r>
    </w:p>
    <w:p w14:paraId="74445069">
      <w:pPr>
        <w:rPr>
          <w:rFonts w:hint="eastAsia"/>
        </w:rPr>
      </w:pPr>
    </w:p>
    <w:p w14:paraId="613AA0A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一、单位信息</w:t>
      </w:r>
    </w:p>
    <w:tbl>
      <w:tblPr>
        <w:tblStyle w:val="9"/>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8"/>
        <w:gridCol w:w="246"/>
        <w:gridCol w:w="2354"/>
        <w:gridCol w:w="2354"/>
        <w:gridCol w:w="2357"/>
      </w:tblGrid>
      <w:tr w14:paraId="09DB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24B6C493">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单位名称</w:t>
            </w:r>
          </w:p>
        </w:tc>
        <w:tc>
          <w:tcPr>
            <w:tcW w:w="7311" w:type="dxa"/>
            <w:gridSpan w:val="4"/>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22EB8CBC">
            <w:pPr>
              <w:spacing w:before="20" w:after="60" w:line="300" w:lineRule="auto"/>
              <w:ind w:firstLine="1680" w:firstLineChars="6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北京三元农业有限公司</w:t>
            </w:r>
          </w:p>
        </w:tc>
      </w:tr>
      <w:tr w14:paraId="2163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23F1928E">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地址</w:t>
            </w:r>
          </w:p>
        </w:tc>
        <w:tc>
          <w:tcPr>
            <w:tcW w:w="7311" w:type="dxa"/>
            <w:gridSpan w:val="4"/>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384E66FA">
            <w:pPr>
              <w:spacing w:before="20" w:after="60" w:line="300" w:lineRule="auto"/>
              <w:ind w:firstLine="1960" w:firstLineChars="7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北京市海淀区上庄镇</w:t>
            </w:r>
          </w:p>
        </w:tc>
      </w:tr>
      <w:tr w14:paraId="5A30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19" w:type="dxa"/>
            <w:gridSpan w:val="5"/>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B2F6963">
            <w:pPr>
              <w:keepNext w:val="0"/>
              <w:keepLines w:val="0"/>
              <w:pageBreakBefore w:val="0"/>
              <w:widowControl w:val="0"/>
              <w:kinsoku/>
              <w:wordWrap/>
              <w:overflowPunct/>
              <w:topLinePunct w:val="0"/>
              <w:autoSpaceDE/>
              <w:autoSpaceDN/>
              <w:bidi w:val="0"/>
              <w:adjustRightInd/>
              <w:snapToGrid/>
              <w:spacing w:line="560" w:lineRule="exact"/>
              <w:jc w:val="left"/>
              <w:textAlignment w:val="auto"/>
            </w:pPr>
            <w:r>
              <w:rPr>
                <w:rFonts w:hint="eastAsia" w:ascii="仿宋_GB2312" w:hAnsi="Calibri" w:eastAsia="仿宋_GB2312" w:cs="Times New Roman"/>
                <w:b/>
                <w:bCs/>
                <w:i w:val="0"/>
                <w:strike w:val="0"/>
                <w:color w:val="auto"/>
                <w:kern w:val="0"/>
                <w:sz w:val="28"/>
                <w:szCs w:val="28"/>
                <w:u w:val="none"/>
                <w:lang w:val="en-US" w:eastAsia="zh-CN" w:bidi="ar-SA"/>
              </w:rPr>
              <w:t>企业简介：</w:t>
            </w:r>
            <w:r>
              <w:rPr>
                <w:rFonts w:hint="eastAsia" w:ascii="仿宋_GB2312" w:hAnsi="Calibri" w:eastAsia="仿宋_GB2312" w:cs="Times New Roman"/>
                <w:b w:val="0"/>
                <w:bCs w:val="0"/>
                <w:i w:val="0"/>
                <w:strike w:val="0"/>
                <w:color w:val="auto"/>
                <w:kern w:val="0"/>
                <w:sz w:val="28"/>
                <w:szCs w:val="28"/>
                <w:u w:val="none"/>
                <w:lang w:val="en-US" w:eastAsia="zh-CN" w:bidi="ar-SA"/>
              </w:rPr>
              <w:t>北京三元农业有限公司是首农食品集团西郊农场全资子公司，是海淀上庄镇现代都市型农业代表企业，园区1000余亩，业务覆盖蔬菜/水果/花卉种植、市民农园、休闲观光、科普教育、农产品配送等。园区已落地鱼菜共生、连栋智能温室、空中草莓、蓝莓、立体栽培等科技农业场景，是北京市休闲农业五星级园区、北京市/海淀区科普基地。</w:t>
            </w:r>
          </w:p>
        </w:tc>
      </w:tr>
      <w:tr w14:paraId="24E2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354"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3CD2E6F">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联系人：</w:t>
            </w:r>
          </w:p>
        </w:tc>
        <w:tc>
          <w:tcPr>
            <w:tcW w:w="2354"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DAA15EC">
            <w:pPr>
              <w:spacing w:before="20" w:after="20" w:line="300" w:lineRule="auto"/>
              <w:jc w:val="center"/>
              <w:rPr>
                <w:rFonts w:hint="default" w:ascii="仿宋_GB2312" w:hAnsi="Calibri" w:eastAsia="仿宋_GB2312" w:cs="Times New Roman"/>
                <w:b w:val="0"/>
                <w:bCs w:val="0"/>
                <w:i w:val="0"/>
                <w:strike w:val="0"/>
                <w:color w:val="auto"/>
                <w:kern w:val="0"/>
                <w:sz w:val="28"/>
                <w:szCs w:val="28"/>
                <w:u w:val="none"/>
                <w:lang w:eastAsia="zh-CN" w:bidi="ar-SA"/>
              </w:rPr>
            </w:pPr>
            <w:r>
              <w:rPr>
                <w:rFonts w:hint="default" w:ascii="仿宋_GB2312" w:hAnsi="Calibri" w:eastAsia="仿宋_GB2312" w:cs="Times New Roman"/>
                <w:b w:val="0"/>
                <w:bCs w:val="0"/>
                <w:i w:val="0"/>
                <w:strike w:val="0"/>
                <w:color w:val="auto"/>
                <w:kern w:val="0"/>
                <w:sz w:val="28"/>
                <w:szCs w:val="28"/>
                <w:u w:val="none"/>
                <w:lang w:eastAsia="zh-CN" w:bidi="ar-SA"/>
              </w:rPr>
              <w:t>刘佳</w:t>
            </w:r>
          </w:p>
        </w:tc>
        <w:tc>
          <w:tcPr>
            <w:tcW w:w="2354"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330C3DD9">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联系方式：</w:t>
            </w:r>
          </w:p>
        </w:tc>
        <w:tc>
          <w:tcPr>
            <w:tcW w:w="2357"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588556F">
            <w:pPr>
              <w:spacing w:before="20" w:after="20" w:line="300" w:lineRule="auto"/>
              <w:jc w:val="center"/>
              <w:rPr>
                <w:rFonts w:hint="default" w:ascii="仿宋_GB2312" w:hAnsi="Calibri" w:eastAsia="仿宋_GB2312" w:cs="Times New Roman"/>
                <w:b w:val="0"/>
                <w:bCs w:val="0"/>
                <w:i w:val="0"/>
                <w:strike w:val="0"/>
                <w:color w:val="auto"/>
                <w:kern w:val="0"/>
                <w:sz w:val="28"/>
                <w:szCs w:val="28"/>
                <w:u w:val="none"/>
                <w:lang w:eastAsia="zh-CN" w:bidi="ar-SA"/>
              </w:rPr>
            </w:pPr>
            <w:r>
              <w:rPr>
                <w:rFonts w:hint="default" w:ascii="仿宋_GB2312" w:hAnsi="Calibri" w:eastAsia="仿宋_GB2312" w:cs="Times New Roman"/>
                <w:b w:val="0"/>
                <w:bCs w:val="0"/>
                <w:i w:val="0"/>
                <w:strike w:val="0"/>
                <w:color w:val="auto"/>
                <w:kern w:val="0"/>
                <w:sz w:val="28"/>
                <w:szCs w:val="28"/>
                <w:u w:val="none"/>
                <w:lang w:eastAsia="zh-CN" w:bidi="ar-SA"/>
              </w:rPr>
              <w:t>18611077663</w:t>
            </w:r>
          </w:p>
        </w:tc>
      </w:tr>
    </w:tbl>
    <w:p w14:paraId="0797E30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二、选题说明</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160"/>
      </w:tblGrid>
      <w:tr w14:paraId="7EED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7C16FD65">
            <w:pPr>
              <w:spacing w:before="20" w:after="60" w:line="300" w:lineRule="auto"/>
              <w:ind w:firstLine="560" w:firstLineChars="200"/>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选题题目</w:t>
            </w:r>
          </w:p>
        </w:tc>
        <w:tc>
          <w:tcPr>
            <w:tcW w:w="7160" w:type="dxa"/>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59E8316F">
            <w:pPr>
              <w:spacing w:before="20" w:after="60" w:line="300" w:lineRule="auto"/>
              <w:ind w:firstLine="840" w:firstLineChars="300"/>
              <w:jc w:val="center"/>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eastAsia="zh-CN"/>
              </w:rPr>
              <w:t>农业斯巴达技能</w:t>
            </w:r>
            <w:r>
              <w:rPr>
                <w:rFonts w:hint="eastAsia" w:ascii="仿宋_GB2312" w:hAnsi="仿宋_GB2312" w:eastAsia="仿宋_GB2312" w:cs="仿宋_GB2312"/>
                <w:b w:val="0"/>
                <w:bCs w:val="0"/>
                <w:color w:val="000000"/>
                <w:sz w:val="28"/>
                <w:szCs w:val="28"/>
                <w:lang w:val="en-US" w:eastAsia="zh-CN"/>
              </w:rPr>
              <w:t>运动会</w:t>
            </w:r>
            <w:r>
              <w:rPr>
                <w:rFonts w:hint="eastAsia" w:ascii="仿宋_GB2312" w:hAnsi="仿宋_GB2312" w:eastAsia="仿宋_GB2312" w:cs="仿宋_GB2312"/>
                <w:b w:val="0"/>
                <w:bCs w:val="0"/>
                <w:color w:val="000000"/>
                <w:sz w:val="28"/>
                <w:szCs w:val="28"/>
                <w:lang w:eastAsia="zh-CN"/>
              </w:rPr>
              <w:t>方案策划</w:t>
            </w:r>
          </w:p>
        </w:tc>
      </w:tr>
      <w:tr w14:paraId="4DC9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31446AD0">
            <w:pPr>
              <w:spacing w:before="20" w:after="60" w:line="300" w:lineRule="auto"/>
              <w:ind w:firstLine="560" w:firstLineChars="200"/>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行业领域</w:t>
            </w:r>
          </w:p>
        </w:tc>
        <w:tc>
          <w:tcPr>
            <w:tcW w:w="7160" w:type="dxa"/>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27BDBE4B">
            <w:pPr>
              <w:spacing w:before="20" w:after="60" w:line="300" w:lineRule="auto"/>
              <w:jc w:val="center"/>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农文旅融合、劳动教育、</w:t>
            </w:r>
            <w:r>
              <w:rPr>
                <w:rFonts w:hint="eastAsia" w:ascii="仿宋_GB2312" w:hAnsi="仿宋_GB2312" w:eastAsia="仿宋_GB2312" w:cs="仿宋_GB2312"/>
                <w:b w:val="0"/>
                <w:bCs w:val="0"/>
                <w:color w:val="000000"/>
                <w:sz w:val="28"/>
                <w:szCs w:val="28"/>
                <w:lang w:val="en-US" w:eastAsia="zh-CN"/>
              </w:rPr>
              <w:t>循环农业、空间运营</w:t>
            </w:r>
          </w:p>
        </w:tc>
      </w:tr>
      <w:tr w14:paraId="7BFD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02B81124">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题目介绍</w:t>
            </w:r>
          </w:p>
          <w:p w14:paraId="23CCAE7F">
            <w:pPr>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上庄镇是京西稻主产区。镇域已有成熟农事体验，</w:t>
            </w:r>
            <w:r>
              <w:rPr>
                <w:rFonts w:hint="default" w:ascii="仿宋_GB2312" w:hAnsi="仿宋_GB2312" w:eastAsia="仿宋_GB2312" w:cs="仿宋_GB2312"/>
                <w:b w:val="0"/>
                <w:bCs w:val="0"/>
                <w:color w:val="000000"/>
                <w:sz w:val="28"/>
                <w:szCs w:val="28"/>
              </w:rPr>
              <w:t>园区有大面积粮食作物种植，土地附加值低。目前开发了农业文旅活动，但存在</w:t>
            </w:r>
            <w:r>
              <w:rPr>
                <w:rFonts w:hint="eastAsia" w:ascii="仿宋_GB2312" w:hAnsi="仿宋_GB2312" w:eastAsia="仿宋_GB2312" w:cs="仿宋_GB2312"/>
                <w:b w:val="0"/>
                <w:bCs w:val="0"/>
                <w:color w:val="000000"/>
                <w:sz w:val="28"/>
                <w:szCs w:val="28"/>
              </w:rPr>
              <w:t>体验"浅"</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rPr>
              <w:t>作物"单"</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rPr>
              <w:t>空间"闲"</w:t>
            </w:r>
            <w:r>
              <w:rPr>
                <w:rFonts w:hint="default" w:ascii="仿宋_GB2312" w:hAnsi="仿宋_GB2312" w:eastAsia="仿宋_GB2312" w:cs="仿宋_GB2312"/>
                <w:b w:val="0"/>
                <w:bCs w:val="0"/>
                <w:color w:val="000000"/>
                <w:sz w:val="28"/>
                <w:szCs w:val="28"/>
              </w:rPr>
              <w:t>等痛点。园区有</w:t>
            </w:r>
            <w:r>
              <w:rPr>
                <w:rFonts w:hint="eastAsia" w:ascii="仿宋_GB2312" w:hAnsi="仿宋_GB2312" w:eastAsia="仿宋_GB2312" w:cs="仿宋_GB2312"/>
                <w:b w:val="0"/>
                <w:bCs w:val="0"/>
                <w:color w:val="000000"/>
                <w:sz w:val="28"/>
                <w:szCs w:val="28"/>
              </w:rPr>
              <w:t>将水稻田收割、玉米地掰穗、水稻脱粒、玉米脱粒等农事</w:t>
            </w:r>
            <w:r>
              <w:rPr>
                <w:rFonts w:hint="default" w:ascii="仿宋_GB2312" w:hAnsi="仿宋_GB2312" w:eastAsia="仿宋_GB2312" w:cs="仿宋_GB2312"/>
                <w:b w:val="0"/>
                <w:bCs w:val="0"/>
                <w:color w:val="000000"/>
                <w:sz w:val="28"/>
                <w:szCs w:val="28"/>
              </w:rPr>
              <w:t>体验多元化开发的计划。基于</w:t>
            </w:r>
            <w:r>
              <w:rPr>
                <w:rFonts w:hint="eastAsia" w:ascii="仿宋_GB2312" w:hAnsi="仿宋_GB2312" w:eastAsia="仿宋_GB2312" w:cs="仿宋_GB2312"/>
                <w:b w:val="0"/>
                <w:bCs w:val="0"/>
                <w:color w:val="000000"/>
                <w:sz w:val="28"/>
                <w:szCs w:val="28"/>
              </w:rPr>
              <w:t>劳作竞技化、关卡化、游戏化，设计一套"农业斯巴达"</w:t>
            </w:r>
            <w:r>
              <w:rPr>
                <w:rFonts w:hint="eastAsia" w:ascii="仿宋_GB2312" w:hAnsi="仿宋_GB2312" w:eastAsia="仿宋_GB2312" w:cs="仿宋_GB2312"/>
                <w:b w:val="0"/>
                <w:bCs w:val="0"/>
                <w:color w:val="000000"/>
                <w:sz w:val="28"/>
                <w:szCs w:val="28"/>
                <w:lang w:val="en-US" w:eastAsia="zh-CN"/>
              </w:rPr>
              <w:t>运动会</w:t>
            </w:r>
            <w:r>
              <w:rPr>
                <w:rFonts w:hint="eastAsia" w:ascii="仿宋_GB2312" w:hAnsi="仿宋_GB2312" w:eastAsia="仿宋_GB2312" w:cs="仿宋_GB2312"/>
                <w:b w:val="0"/>
                <w:bCs w:val="0"/>
                <w:color w:val="000000"/>
                <w:sz w:val="28"/>
                <w:szCs w:val="28"/>
              </w:rPr>
              <w:t>，让游客在闯关中自然掌握农业生产技能，并把劳动成果即时转化为可吃、可带、可晒的奖赏。</w:t>
            </w:r>
            <w:r>
              <w:rPr>
                <w:rFonts w:hint="eastAsia" w:ascii="仿宋_GB2312" w:hAnsi="仿宋_GB2312" w:eastAsia="仿宋_GB2312" w:cs="仿宋_GB2312"/>
                <w:b w:val="0"/>
                <w:bCs w:val="0"/>
                <w:color w:val="000000"/>
                <w:sz w:val="28"/>
                <w:szCs w:val="28"/>
                <w:lang w:val="en-US" w:eastAsia="zh-CN"/>
              </w:rPr>
              <w:t>并且附加方案</w:t>
            </w:r>
            <w:r>
              <w:rPr>
                <w:rFonts w:hint="eastAsia" w:ascii="仿宋_GB2312" w:hAnsi="仿宋_GB2312" w:eastAsia="仿宋_GB2312" w:cs="仿宋_GB2312"/>
                <w:b w:val="0"/>
                <w:bCs w:val="0"/>
                <w:color w:val="000000"/>
                <w:sz w:val="28"/>
                <w:szCs w:val="28"/>
              </w:rPr>
              <w:t>跳出"种玉米—卖玉米"的单一思路，重新定义玉米地的全周期价值，更是可经营的复合空间。要求</w:t>
            </w:r>
            <w:r>
              <w:rPr>
                <w:rFonts w:hint="default" w:ascii="仿宋_GB2312" w:hAnsi="仿宋_GB2312" w:eastAsia="仿宋_GB2312" w:cs="仿宋_GB2312"/>
                <w:b w:val="0"/>
                <w:bCs w:val="0"/>
                <w:color w:val="000000"/>
                <w:sz w:val="28"/>
                <w:szCs w:val="28"/>
              </w:rPr>
              <w:t>将稻田、</w:t>
            </w:r>
            <w:r>
              <w:rPr>
                <w:rFonts w:hint="eastAsia" w:ascii="仿宋_GB2312" w:hAnsi="仿宋_GB2312" w:eastAsia="仿宋_GB2312" w:cs="仿宋_GB2312"/>
                <w:b w:val="0"/>
                <w:bCs w:val="0"/>
                <w:color w:val="000000"/>
                <w:sz w:val="28"/>
                <w:szCs w:val="28"/>
              </w:rPr>
              <w:t>玉米地从"种到收、从收到闲"的全生命周期，设计能显著提升单位面积收益的高附加值使用方式</w:t>
            </w:r>
            <w:r>
              <w:rPr>
                <w:rFonts w:hint="eastAsia" w:ascii="仿宋_GB2312" w:hAnsi="仿宋_GB2312" w:eastAsia="仿宋_GB2312" w:cs="仿宋_GB2312"/>
                <w:b w:val="0"/>
                <w:bCs w:val="0"/>
                <w:color w:val="000000"/>
                <w:sz w:val="28"/>
                <w:szCs w:val="28"/>
                <w:lang w:eastAsia="zh-CN"/>
              </w:rPr>
              <w:t>。</w:t>
            </w:r>
          </w:p>
        </w:tc>
      </w:tr>
      <w:tr w14:paraId="31CD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24EF7C6">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作品要求</w:t>
            </w:r>
          </w:p>
          <w:p w14:paraId="46432902">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val="en-US" w:eastAsia="zh-CN"/>
              </w:rPr>
              <w:t>1.</w:t>
            </w:r>
            <w:r>
              <w:rPr>
                <w:rFonts w:hint="eastAsia" w:ascii="仿宋_GB2312" w:hAnsi="仿宋_GB2312" w:eastAsia="仿宋_GB2312" w:cs="仿宋_GB2312"/>
                <w:b w:val="0"/>
                <w:bCs w:val="0"/>
                <w:color w:val="000000"/>
                <w:sz w:val="28"/>
                <w:szCs w:val="28"/>
              </w:rPr>
              <w:t>提交2027年</w:t>
            </w:r>
            <w:r>
              <w:rPr>
                <w:rFonts w:hint="eastAsia" w:ascii="仿宋_GB2312" w:hAnsi="仿宋_GB2312" w:eastAsia="仿宋_GB2312" w:cs="仿宋_GB2312"/>
                <w:b w:val="0"/>
                <w:bCs w:val="0"/>
                <w:color w:val="000000"/>
                <w:sz w:val="28"/>
                <w:szCs w:val="28"/>
                <w:lang w:eastAsia="zh-CN"/>
              </w:rPr>
              <w:t>农业斯巴达技能挑战赛方案</w:t>
            </w:r>
            <w:r>
              <w:rPr>
                <w:rFonts w:hint="default" w:ascii="仿宋_GB2312" w:hAnsi="仿宋_GB2312" w:eastAsia="仿宋_GB2312" w:cs="仿宋_GB2312"/>
                <w:b w:val="0"/>
                <w:bCs w:val="0"/>
                <w:color w:val="000000"/>
                <w:sz w:val="28"/>
                <w:szCs w:val="28"/>
                <w:lang w:eastAsia="zh-CN"/>
              </w:rPr>
              <w:t>的</w:t>
            </w:r>
            <w:r>
              <w:rPr>
                <w:rFonts w:hint="eastAsia" w:ascii="仿宋_GB2312" w:hAnsi="仿宋_GB2312" w:eastAsia="仿宋_GB2312" w:cs="仿宋_GB2312"/>
                <w:b w:val="0"/>
                <w:bCs w:val="0"/>
                <w:color w:val="000000"/>
                <w:sz w:val="28"/>
                <w:szCs w:val="28"/>
              </w:rPr>
              <w:t>整体策划方案（含主题、内容、</w:t>
            </w:r>
            <w:r>
              <w:rPr>
                <w:rFonts w:hint="eastAsia" w:ascii="仿宋_GB2312" w:hAnsi="仿宋_GB2312" w:eastAsia="仿宋_GB2312" w:cs="仿宋_GB2312"/>
                <w:b w:val="0"/>
                <w:bCs w:val="0"/>
                <w:color w:val="000000"/>
                <w:sz w:val="28"/>
                <w:szCs w:val="28"/>
                <w:lang w:val="en-US" w:eastAsia="zh-CN"/>
              </w:rPr>
              <w:t>场地</w:t>
            </w:r>
            <w:r>
              <w:rPr>
                <w:rFonts w:hint="eastAsia" w:ascii="仿宋_GB2312" w:hAnsi="仿宋_GB2312" w:eastAsia="仿宋_GB2312" w:cs="仿宋_GB2312"/>
                <w:b w:val="0"/>
                <w:bCs w:val="0"/>
                <w:color w:val="000000"/>
                <w:sz w:val="28"/>
                <w:szCs w:val="28"/>
              </w:rPr>
              <w:t>设计、</w:t>
            </w:r>
            <w:r>
              <w:rPr>
                <w:rFonts w:hint="eastAsia" w:ascii="仿宋_GB2312" w:hAnsi="仿宋_GB2312" w:eastAsia="仿宋_GB2312" w:cs="仿宋_GB2312"/>
                <w:b w:val="0"/>
                <w:bCs w:val="0"/>
                <w:color w:val="000000"/>
                <w:sz w:val="28"/>
                <w:szCs w:val="28"/>
                <w:lang w:val="en-US" w:eastAsia="zh-CN"/>
              </w:rPr>
              <w:t>具体项目内容</w:t>
            </w:r>
            <w:r>
              <w:rPr>
                <w:rFonts w:hint="eastAsia" w:ascii="仿宋_GB2312" w:hAnsi="仿宋_GB2312" w:eastAsia="仿宋_GB2312" w:cs="仿宋_GB2312"/>
                <w:b w:val="0"/>
                <w:bCs w:val="0"/>
                <w:color w:val="000000"/>
                <w:sz w:val="28"/>
                <w:szCs w:val="28"/>
              </w:rPr>
              <w:t>、动线、受众定位）；</w:t>
            </w:r>
          </w:p>
          <w:p w14:paraId="652B33EC">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2.充分体现农业田地与运动会的融合，形成整体运营闭环（季节性节奏、收入结构农产品/门票/场地/课程）；</w:t>
            </w:r>
          </w:p>
          <w:p w14:paraId="348DF50C">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3.</w:t>
            </w:r>
            <w:r>
              <w:rPr>
                <w:rFonts w:hint="default" w:ascii="仿宋_GB2312" w:hAnsi="仿宋_GB2312" w:eastAsia="仿宋_GB2312" w:cs="仿宋_GB2312"/>
                <w:b w:val="0"/>
                <w:bCs w:val="0"/>
                <w:color w:val="000000"/>
                <w:sz w:val="28"/>
                <w:szCs w:val="28"/>
                <w:lang w:val="en-US" w:eastAsia="zh-CN"/>
              </w:rPr>
              <w:t>玉米地高附加值使用专项方案：围绕玉米地全生命周期，系统提出至少4类增值路径（品种增值、体验增值、景观增值、研学增值、轮作增值中选），每条路径须说明——土地占用时段、具体产品/业态、目标客群、单位面积增收测算逻辑；明确提出消灭采收后空档期的轮作/套种方案；</w:t>
            </w:r>
          </w:p>
          <w:p w14:paraId="29A225F4">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sz w:val="28"/>
                <w:szCs w:val="28"/>
                <w:highlight w:val="yellow"/>
                <w:lang w:val="en-US" w:eastAsia="zh-CN"/>
              </w:rPr>
            </w:pPr>
            <w:r>
              <w:rPr>
                <w:rFonts w:hint="eastAsia" w:ascii="仿宋_GB2312" w:hAnsi="仿宋_GB2312" w:eastAsia="仿宋_GB2312" w:cs="仿宋_GB2312"/>
                <w:b w:val="0"/>
                <w:bCs w:val="0"/>
                <w:color w:val="000000"/>
                <w:sz w:val="28"/>
                <w:szCs w:val="28"/>
                <w:lang w:val="en-US" w:eastAsia="zh-CN"/>
              </w:rPr>
              <w:t>4.成果形式：方案文本（Word）+ 策划PPT + 关键视觉（主视觉、关卡示意图、玉米地全年种植-经营日历、景观效果图、动线图、文创效果图等）</w:t>
            </w:r>
            <w:r>
              <w:rPr>
                <w:rFonts w:hint="eastAsia" w:ascii="仿宋_GB2312" w:hAnsi="仿宋_GB2312" w:eastAsia="仿宋_GB2312" w:cs="仿宋_GB2312"/>
                <w:b w:val="0"/>
                <w:bCs w:val="0"/>
                <w:color w:val="000000"/>
                <w:sz w:val="28"/>
                <w:szCs w:val="28"/>
                <w:highlight w:val="none"/>
                <w:lang w:val="en-US" w:eastAsia="zh-CN"/>
              </w:rPr>
              <w:t>；</w:t>
            </w:r>
          </w:p>
          <w:p w14:paraId="1A62E8D8">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val="0"/>
                <w:bCs w:val="0"/>
                <w:color w:val="000000"/>
                <w:sz w:val="28"/>
                <w:szCs w:val="28"/>
                <w:lang w:eastAsia="zh-CN"/>
              </w:rPr>
            </w:pPr>
          </w:p>
        </w:tc>
      </w:tr>
      <w:tr w14:paraId="2C04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933E128">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企业可提供资源、激励及落地支持：</w:t>
            </w:r>
          </w:p>
          <w:p w14:paraId="2D6F0A5B">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val="en-US" w:eastAsia="zh-CN"/>
              </w:rPr>
              <w:t>1.</w:t>
            </w:r>
            <w:r>
              <w:rPr>
                <w:rFonts w:hint="eastAsia" w:ascii="仿宋_GB2312" w:hAnsi="仿宋_GB2312" w:eastAsia="仿宋_GB2312" w:cs="仿宋_GB2312"/>
                <w:b w:val="0"/>
                <w:bCs w:val="0"/>
                <w:color w:val="000000"/>
                <w:sz w:val="28"/>
                <w:szCs w:val="28"/>
                <w:lang w:eastAsia="zh-CN"/>
              </w:rPr>
              <w:t>提供稻田、玉米地、加工点实地调研与体验机会，明确可使用的玉米地面积/地块/租期；</w:t>
            </w:r>
          </w:p>
          <w:p w14:paraId="0B2D514E">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bCs/>
                <w:color w:val="000000"/>
                <w:sz w:val="28"/>
                <w:szCs w:val="28"/>
                <w:lang w:eastAsia="zh-CN"/>
              </w:rPr>
            </w:pPr>
            <w:r>
              <w:rPr>
                <w:rFonts w:hint="eastAsia" w:ascii="仿宋_GB2312" w:hAnsi="仿宋_GB2312" w:eastAsia="仿宋_GB2312" w:cs="仿宋_GB2312"/>
                <w:b w:val="0"/>
                <w:bCs w:val="0"/>
                <w:color w:val="000000"/>
                <w:sz w:val="28"/>
                <w:szCs w:val="28"/>
                <w:lang w:val="en-US" w:eastAsia="zh-CN"/>
              </w:rPr>
              <w:t>2.</w:t>
            </w:r>
            <w:r>
              <w:rPr>
                <w:rFonts w:hint="eastAsia" w:ascii="仿宋_GB2312" w:hAnsi="仿宋_GB2312" w:eastAsia="仿宋_GB2312" w:cs="仿宋_GB2312"/>
                <w:b w:val="0"/>
                <w:bCs w:val="0"/>
                <w:color w:val="000000"/>
                <w:sz w:val="28"/>
                <w:szCs w:val="28"/>
                <w:lang w:eastAsia="zh-CN"/>
              </w:rPr>
              <w:t>安排专人（出题方）全程对接答疑，支持实地调研与打样</w:t>
            </w:r>
            <w:r>
              <w:rPr>
                <w:rFonts w:hint="default" w:ascii="仿宋_GB2312" w:hAnsi="仿宋_GB2312" w:eastAsia="仿宋_GB2312" w:cs="仿宋_GB2312"/>
                <w:b w:val="0"/>
                <w:bCs w:val="0"/>
                <w:color w:val="000000"/>
                <w:sz w:val="28"/>
                <w:szCs w:val="28"/>
                <w:lang w:eastAsia="zh-CN"/>
              </w:rPr>
              <w:t>。</w:t>
            </w:r>
          </w:p>
        </w:tc>
      </w:tr>
    </w:tbl>
    <w:p w14:paraId="5B956FDB">
      <w:pPr>
        <w:pStyle w:val="2"/>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方正小标宋简体" w:hAnsi="方正小标宋简体" w:eastAsia="方正小标宋简体" w:cs="方正小标宋简体"/>
          <w:b w:val="0"/>
          <w:bCs w:val="0"/>
          <w:color w:val="000000"/>
          <w:sz w:val="44"/>
          <w:szCs w:val="44"/>
        </w:rPr>
      </w:pPr>
    </w:p>
    <w:p w14:paraId="1B04C5A3">
      <w:pPr>
        <w:rPr>
          <w:rFonts w:hint="eastAsia" w:ascii="方正小标宋简体" w:hAnsi="方正小标宋简体" w:eastAsia="方正小标宋简体" w:cs="方正小标宋简体"/>
          <w:b w:val="0"/>
          <w:bCs w:val="0"/>
          <w:color w:val="000000"/>
          <w:sz w:val="44"/>
          <w:szCs w:val="44"/>
        </w:rPr>
      </w:pPr>
    </w:p>
    <w:p w14:paraId="1C02EEFD">
      <w:pPr>
        <w:rPr>
          <w:rFonts w:hint="eastAsia" w:ascii="方正小标宋简体" w:hAnsi="方正小标宋简体" w:eastAsia="方正小标宋简体" w:cs="方正小标宋简体"/>
          <w:b w:val="0"/>
          <w:bCs w:val="0"/>
          <w:color w:val="000000"/>
          <w:sz w:val="44"/>
          <w:szCs w:val="44"/>
        </w:rPr>
      </w:pPr>
    </w:p>
    <w:p w14:paraId="28B6398F">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方正小标宋简体" w:hAnsi="方正小标宋简体" w:eastAsia="方正小标宋简体" w:cs="方正小标宋简体"/>
          <w:b w:val="0"/>
          <w:bCs w:val="0"/>
          <w:color w:val="000000"/>
          <w:sz w:val="44"/>
          <w:szCs w:val="44"/>
          <w:lang w:eastAsia="zh-CN"/>
        </w:rPr>
      </w:pPr>
      <w:r>
        <w:rPr>
          <w:rFonts w:hint="eastAsia" w:ascii="方正小标宋简体" w:hAnsi="方正小标宋简体" w:eastAsia="方正小标宋简体" w:cs="方正小标宋简体"/>
          <w:b w:val="0"/>
          <w:bCs w:val="0"/>
          <w:color w:val="000000"/>
          <w:sz w:val="44"/>
          <w:szCs w:val="44"/>
        </w:rPr>
        <w:t>选</w:t>
      </w:r>
      <w:r>
        <w:rPr>
          <w:rFonts w:hint="eastAsia" w:ascii="方正小标宋简体" w:hAnsi="方正小标宋简体" w:eastAsia="方正小标宋简体" w:cs="方正小标宋简体"/>
          <w:b w:val="0"/>
          <w:bCs w:val="0"/>
          <w:color w:val="000000"/>
          <w:sz w:val="44"/>
          <w:szCs w:val="44"/>
          <w:lang w:val="en-US" w:eastAsia="zh-CN"/>
        </w:rPr>
        <w:t>题</w:t>
      </w:r>
      <w:r>
        <w:rPr>
          <w:rFonts w:hint="eastAsia" w:ascii="方正小标宋简体" w:hAnsi="方正小标宋简体" w:eastAsia="方正小标宋简体" w:cs="方正小标宋简体"/>
          <w:b w:val="0"/>
          <w:bCs w:val="0"/>
          <w:color w:val="000000"/>
          <w:sz w:val="44"/>
          <w:szCs w:val="44"/>
        </w:rPr>
        <w:t>0</w:t>
      </w:r>
      <w:r>
        <w:rPr>
          <w:rFonts w:hint="eastAsia" w:ascii="方正小标宋简体" w:hAnsi="方正小标宋简体" w:eastAsia="方正小标宋简体" w:cs="方正小标宋简体"/>
          <w:b w:val="0"/>
          <w:bCs w:val="0"/>
          <w:color w:val="000000"/>
          <w:sz w:val="44"/>
          <w:szCs w:val="44"/>
          <w:lang w:val="en-US" w:eastAsia="zh-CN"/>
        </w:rPr>
        <w:t xml:space="preserve">8  </w:t>
      </w:r>
      <w:r>
        <w:rPr>
          <w:rFonts w:hint="default" w:ascii="方正小标宋简体" w:hAnsi="方正小标宋简体" w:eastAsia="方正小标宋简体" w:cs="方正小标宋简体"/>
          <w:b w:val="0"/>
          <w:bCs w:val="0"/>
          <w:color w:val="000000"/>
          <w:sz w:val="44"/>
          <w:szCs w:val="44"/>
          <w:lang w:eastAsia="zh-CN"/>
        </w:rPr>
        <w:t>市民农园的线上服务与互动体验</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default" w:ascii="方正小标宋简体" w:hAnsi="方正小标宋简体" w:eastAsia="方正小标宋简体" w:cs="方正小标宋简体"/>
          <w:b w:val="0"/>
          <w:bCs w:val="0"/>
          <w:color w:val="000000"/>
          <w:sz w:val="44"/>
          <w:szCs w:val="44"/>
          <w:lang w:eastAsia="zh-CN"/>
        </w:rPr>
        <w:t>相结合的小程序</w:t>
      </w:r>
    </w:p>
    <w:p w14:paraId="78BBFF2D">
      <w:pPr>
        <w:rPr>
          <w:rFonts w:hint="eastAsia"/>
        </w:rPr>
      </w:pPr>
    </w:p>
    <w:p w14:paraId="528792D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一、单位信息</w:t>
      </w:r>
    </w:p>
    <w:tbl>
      <w:tblPr>
        <w:tblStyle w:val="9"/>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8"/>
        <w:gridCol w:w="246"/>
        <w:gridCol w:w="2354"/>
        <w:gridCol w:w="2354"/>
        <w:gridCol w:w="2357"/>
      </w:tblGrid>
      <w:tr w14:paraId="18B8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2108"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2B262181">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单位名称</w:t>
            </w:r>
          </w:p>
        </w:tc>
        <w:tc>
          <w:tcPr>
            <w:tcW w:w="7311" w:type="dxa"/>
            <w:gridSpan w:val="4"/>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709DB3D5">
            <w:pPr>
              <w:spacing w:before="20" w:after="60" w:line="300" w:lineRule="auto"/>
              <w:ind w:firstLine="1680" w:firstLineChars="6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北京三元农业有限公司</w:t>
            </w:r>
          </w:p>
        </w:tc>
      </w:tr>
      <w:tr w14:paraId="53A8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7C9EDC2E">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地址</w:t>
            </w:r>
          </w:p>
        </w:tc>
        <w:tc>
          <w:tcPr>
            <w:tcW w:w="7311" w:type="dxa"/>
            <w:gridSpan w:val="4"/>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6A225E96">
            <w:pPr>
              <w:spacing w:before="20" w:after="60" w:line="300" w:lineRule="auto"/>
              <w:ind w:firstLine="1960" w:firstLineChars="7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color w:val="000000"/>
                <w:sz w:val="28"/>
                <w:szCs w:val="28"/>
              </w:rPr>
              <w:t>北京市海淀区上庄镇</w:t>
            </w:r>
          </w:p>
        </w:tc>
      </w:tr>
      <w:tr w14:paraId="7804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19" w:type="dxa"/>
            <w:gridSpan w:val="5"/>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75F7EDF9">
            <w:pPr>
              <w:keepNext w:val="0"/>
              <w:keepLines w:val="0"/>
              <w:pageBreakBefore w:val="0"/>
              <w:widowControl w:val="0"/>
              <w:kinsoku/>
              <w:wordWrap/>
              <w:overflowPunct/>
              <w:topLinePunct w:val="0"/>
              <w:autoSpaceDE/>
              <w:autoSpaceDN/>
              <w:bidi w:val="0"/>
              <w:adjustRightInd/>
              <w:snapToGrid/>
              <w:spacing w:line="560" w:lineRule="exact"/>
              <w:jc w:val="left"/>
              <w:textAlignment w:val="auto"/>
            </w:pPr>
            <w:r>
              <w:rPr>
                <w:rFonts w:hint="eastAsia" w:ascii="仿宋_GB2312" w:hAnsi="Calibri" w:eastAsia="仿宋_GB2312" w:cs="Times New Roman"/>
                <w:b/>
                <w:bCs/>
                <w:i w:val="0"/>
                <w:strike w:val="0"/>
                <w:color w:val="auto"/>
                <w:kern w:val="0"/>
                <w:sz w:val="28"/>
                <w:szCs w:val="28"/>
                <w:u w:val="none"/>
                <w:lang w:val="en-US" w:eastAsia="zh-CN" w:bidi="ar-SA"/>
              </w:rPr>
              <w:t>企业简介：</w:t>
            </w:r>
            <w:r>
              <w:rPr>
                <w:rFonts w:hint="eastAsia" w:ascii="仿宋_GB2312" w:hAnsi="Calibri" w:eastAsia="仿宋_GB2312" w:cs="Times New Roman"/>
                <w:b w:val="0"/>
                <w:bCs w:val="0"/>
                <w:i w:val="0"/>
                <w:strike w:val="0"/>
                <w:color w:val="auto"/>
                <w:kern w:val="0"/>
                <w:sz w:val="28"/>
                <w:szCs w:val="28"/>
                <w:u w:val="none"/>
                <w:lang w:val="en-US" w:eastAsia="zh-CN" w:bidi="ar-SA"/>
              </w:rPr>
              <w:t>北京三元农业有限公司是首农食品集团西郊农场全资子公司，是海淀上庄镇现代都市型农业代表企业，园区1000余亩，业务覆盖蔬菜/水果/花卉种植、市民农园、休闲观光、科普教育、农产品配送等。园区已落地鱼菜共生、连栋智能温室、空中草莓、蓝莓、立体栽培等科技农业场景，是北京市休闲农业五星级园区、北京市/海淀区科普基地。</w:t>
            </w:r>
          </w:p>
        </w:tc>
      </w:tr>
      <w:tr w14:paraId="2B40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354"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7500ED7">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联系人：</w:t>
            </w:r>
          </w:p>
        </w:tc>
        <w:tc>
          <w:tcPr>
            <w:tcW w:w="2354"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BF92FD0">
            <w:pPr>
              <w:spacing w:before="20" w:after="20" w:line="300" w:lineRule="auto"/>
              <w:jc w:val="center"/>
              <w:rPr>
                <w:rFonts w:hint="default" w:ascii="仿宋_GB2312" w:hAnsi="Calibri" w:eastAsia="仿宋_GB2312" w:cs="Times New Roman"/>
                <w:b w:val="0"/>
                <w:bCs w:val="0"/>
                <w:i w:val="0"/>
                <w:strike w:val="0"/>
                <w:color w:val="auto"/>
                <w:kern w:val="0"/>
                <w:sz w:val="28"/>
                <w:szCs w:val="28"/>
                <w:u w:val="none"/>
                <w:lang w:eastAsia="zh-CN" w:bidi="ar-SA"/>
              </w:rPr>
            </w:pPr>
            <w:r>
              <w:rPr>
                <w:rFonts w:hint="default" w:ascii="仿宋_GB2312" w:hAnsi="Calibri" w:eastAsia="仿宋_GB2312" w:cs="Times New Roman"/>
                <w:b w:val="0"/>
                <w:bCs w:val="0"/>
                <w:i w:val="0"/>
                <w:strike w:val="0"/>
                <w:color w:val="auto"/>
                <w:kern w:val="0"/>
                <w:sz w:val="28"/>
                <w:szCs w:val="28"/>
                <w:u w:val="none"/>
                <w:lang w:eastAsia="zh-CN" w:bidi="ar-SA"/>
              </w:rPr>
              <w:t>刘佳</w:t>
            </w:r>
          </w:p>
        </w:tc>
        <w:tc>
          <w:tcPr>
            <w:tcW w:w="2354"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6B87F818">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联系方式：</w:t>
            </w:r>
          </w:p>
        </w:tc>
        <w:tc>
          <w:tcPr>
            <w:tcW w:w="2357" w:type="dxa"/>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2E9380E5">
            <w:pPr>
              <w:spacing w:before="20" w:after="20" w:line="300" w:lineRule="auto"/>
              <w:jc w:val="center"/>
              <w:rPr>
                <w:rFonts w:hint="default" w:ascii="仿宋_GB2312" w:hAnsi="Calibri" w:eastAsia="仿宋_GB2312" w:cs="Times New Roman"/>
                <w:b w:val="0"/>
                <w:bCs w:val="0"/>
                <w:i w:val="0"/>
                <w:strike w:val="0"/>
                <w:color w:val="auto"/>
                <w:kern w:val="0"/>
                <w:sz w:val="28"/>
                <w:szCs w:val="28"/>
                <w:u w:val="none"/>
                <w:lang w:eastAsia="zh-CN" w:bidi="ar-SA"/>
              </w:rPr>
            </w:pPr>
            <w:r>
              <w:rPr>
                <w:rFonts w:hint="default" w:ascii="仿宋_GB2312" w:hAnsi="Calibri" w:eastAsia="仿宋_GB2312" w:cs="Times New Roman"/>
                <w:b w:val="0"/>
                <w:bCs w:val="0"/>
                <w:i w:val="0"/>
                <w:strike w:val="0"/>
                <w:color w:val="auto"/>
                <w:kern w:val="0"/>
                <w:sz w:val="28"/>
                <w:szCs w:val="28"/>
                <w:u w:val="none"/>
                <w:lang w:eastAsia="zh-CN" w:bidi="ar-SA"/>
              </w:rPr>
              <w:t>18611077663</w:t>
            </w:r>
          </w:p>
        </w:tc>
      </w:tr>
    </w:tbl>
    <w:p w14:paraId="43619AB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二、选题说明</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160"/>
      </w:tblGrid>
      <w:tr w14:paraId="13D5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5E63F381">
            <w:pPr>
              <w:spacing w:before="20" w:after="60" w:line="300" w:lineRule="auto"/>
              <w:ind w:firstLine="560" w:firstLineChars="200"/>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选题题目</w:t>
            </w:r>
          </w:p>
        </w:tc>
        <w:tc>
          <w:tcPr>
            <w:tcW w:w="7160" w:type="dxa"/>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7F921438">
            <w:pPr>
              <w:spacing w:before="20" w:after="60" w:line="300" w:lineRule="auto"/>
              <w:ind w:firstLine="840" w:firstLineChars="300"/>
              <w:jc w:val="center"/>
              <w:rPr>
                <w:rFonts w:hint="default" w:ascii="仿宋_GB2312" w:hAnsi="仿宋_GB2312" w:eastAsia="仿宋_GB2312" w:cs="仿宋_GB2312"/>
                <w:b w:val="0"/>
                <w:bCs w:val="0"/>
                <w:color w:val="000000"/>
                <w:sz w:val="28"/>
                <w:szCs w:val="28"/>
                <w:lang w:eastAsia="zh-CN"/>
              </w:rPr>
            </w:pPr>
            <w:r>
              <w:rPr>
                <w:rFonts w:hint="default" w:ascii="仿宋_GB2312" w:hAnsi="仿宋_GB2312" w:eastAsia="仿宋_GB2312" w:cs="仿宋_GB2312"/>
                <w:b w:val="0"/>
                <w:bCs w:val="0"/>
                <w:color w:val="000000"/>
                <w:sz w:val="28"/>
                <w:szCs w:val="28"/>
                <w:lang w:eastAsia="zh-CN"/>
              </w:rPr>
              <w:t>市民农园线上服务与互动体验相结合的小程序</w:t>
            </w:r>
          </w:p>
        </w:tc>
      </w:tr>
      <w:tr w14:paraId="384E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tcMar>
              <w:top w:w="60" w:type="dxa"/>
              <w:left w:w="120" w:type="dxa"/>
              <w:bottom w:w="60" w:type="dxa"/>
              <w:right w:w="120" w:type="dxa"/>
            </w:tcMar>
            <w:vAlign w:val="center"/>
          </w:tcPr>
          <w:p w14:paraId="2D261894">
            <w:pPr>
              <w:spacing w:before="20" w:after="60" w:line="300" w:lineRule="auto"/>
              <w:ind w:firstLine="560" w:firstLineChars="200"/>
              <w:jc w:val="both"/>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行业领域</w:t>
            </w:r>
          </w:p>
        </w:tc>
        <w:tc>
          <w:tcPr>
            <w:tcW w:w="7160" w:type="dxa"/>
            <w:tcBorders>
              <w:top w:val="single" w:color="808080" w:sz="4" w:space="0"/>
              <w:left w:val="single" w:color="808080" w:sz="4" w:space="0"/>
              <w:bottom w:val="single" w:color="808080" w:sz="4" w:space="0"/>
              <w:right w:val="single" w:color="808080" w:sz="4" w:space="0"/>
            </w:tcBorders>
            <w:tcMar>
              <w:top w:w="60" w:type="dxa"/>
              <w:left w:w="120" w:type="dxa"/>
              <w:bottom w:w="60" w:type="dxa"/>
              <w:right w:w="120" w:type="dxa"/>
            </w:tcMar>
            <w:vAlign w:val="center"/>
          </w:tcPr>
          <w:p w14:paraId="0611A2F7">
            <w:pPr>
              <w:spacing w:before="20" w:after="60" w:line="300" w:lineRule="auto"/>
              <w:jc w:val="center"/>
              <w:rPr>
                <w:rFonts w:hint="default" w:ascii="仿宋_GB2312" w:hAnsi="仿宋_GB2312" w:eastAsia="仿宋_GB2312" w:cs="仿宋_GB2312"/>
                <w:b w:val="0"/>
                <w:bCs w:val="0"/>
                <w:color w:val="000000"/>
                <w:sz w:val="28"/>
                <w:szCs w:val="28"/>
              </w:rPr>
            </w:pPr>
            <w:r>
              <w:rPr>
                <w:rFonts w:hint="default" w:ascii="仿宋_GB2312" w:hAnsi="仿宋_GB2312" w:eastAsia="仿宋_GB2312" w:cs="仿宋_GB2312"/>
                <w:b w:val="0"/>
                <w:bCs w:val="0"/>
                <w:color w:val="000000"/>
                <w:sz w:val="28"/>
                <w:szCs w:val="28"/>
              </w:rPr>
              <w:t>农文旅</w:t>
            </w:r>
          </w:p>
        </w:tc>
      </w:tr>
      <w:tr w14:paraId="64B8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B4BB1DF">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题目介绍</w:t>
            </w:r>
          </w:p>
          <w:p w14:paraId="0A13A7E3">
            <w:pPr>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val="en-US" w:eastAsia="zh-CN"/>
              </w:rPr>
              <w:t>三</w:t>
            </w:r>
            <w:r>
              <w:rPr>
                <w:rFonts w:hint="eastAsia" w:ascii="仿宋_GB2312" w:hAnsi="仿宋_GB2312" w:eastAsia="仿宋_GB2312" w:cs="仿宋_GB2312"/>
                <w:b w:val="0"/>
                <w:bCs w:val="0"/>
                <w:color w:val="000000"/>
                <w:sz w:val="28"/>
                <w:szCs w:val="28"/>
              </w:rPr>
              <w:t>元农业市民农园已形成"认养一块地—周末耕种—收获果蔬"的成熟模式。但当前模式存在</w:t>
            </w:r>
            <w:r>
              <w:rPr>
                <w:rFonts w:hint="eastAsia" w:ascii="仿宋_GB2312" w:hAnsi="仿宋_GB2312" w:eastAsia="仿宋_GB2312" w:cs="仿宋_GB2312"/>
                <w:b w:val="0"/>
                <w:bCs w:val="0"/>
                <w:color w:val="000000"/>
                <w:sz w:val="28"/>
                <w:szCs w:val="28"/>
                <w:lang w:val="en-US" w:eastAsia="zh-CN"/>
              </w:rPr>
              <w:t>不足</w:t>
            </w:r>
            <w:r>
              <w:rPr>
                <w:rFonts w:hint="eastAsia" w:ascii="仿宋_GB2312" w:hAnsi="仿宋_GB2312" w:eastAsia="仿宋_GB2312" w:cs="仿宋_GB2312"/>
                <w:b w:val="0"/>
                <w:bCs w:val="0"/>
                <w:color w:val="000000"/>
                <w:sz w:val="28"/>
                <w:szCs w:val="28"/>
              </w:rPr>
              <w:t>： "种什么、怎么种"靠人工传授</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rPr>
              <w:t>反馈断层</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rPr>
              <w:t>独立运营能力不足</w:t>
            </w:r>
            <w:r>
              <w:rPr>
                <w:rFonts w:hint="eastAsia" w:ascii="仿宋_GB2312" w:hAnsi="仿宋_GB2312" w:eastAsia="仿宋_GB2312" w:cs="仿宋_GB2312"/>
                <w:b w:val="0"/>
                <w:bCs w:val="0"/>
                <w:color w:val="000000"/>
                <w:sz w:val="28"/>
                <w:szCs w:val="28"/>
                <w:lang w:eastAsia="zh-CN"/>
              </w:rPr>
              <w:t>。</w:t>
            </w:r>
          </w:p>
          <w:p w14:paraId="0C206C9F">
            <w:pPr>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本选题要求设计一款面向</w:t>
            </w:r>
            <w:r>
              <w:rPr>
                <w:rFonts w:hint="default" w:ascii="仿宋_GB2312" w:hAnsi="仿宋_GB2312" w:eastAsia="仿宋_GB2312" w:cs="仿宋_GB2312"/>
                <w:b w:val="0"/>
                <w:bCs w:val="0"/>
                <w:color w:val="000000"/>
                <w:sz w:val="28"/>
                <w:szCs w:val="28"/>
              </w:rPr>
              <w:t>认养客户</w:t>
            </w:r>
            <w:r>
              <w:rPr>
                <w:rFonts w:hint="eastAsia" w:ascii="仿宋_GB2312" w:hAnsi="仿宋_GB2312" w:eastAsia="仿宋_GB2312" w:cs="仿宋_GB2312"/>
                <w:b w:val="0"/>
                <w:bCs w:val="0"/>
                <w:color w:val="000000"/>
                <w:sz w:val="28"/>
                <w:szCs w:val="28"/>
              </w:rPr>
              <w:t>与园区管理的菜园智慧运营小程序/App，以三元市民</w:t>
            </w:r>
            <w:r>
              <w:rPr>
                <w:rFonts w:hint="default" w:ascii="仿宋_GB2312" w:hAnsi="仿宋_GB2312" w:eastAsia="仿宋_GB2312" w:cs="仿宋_GB2312"/>
                <w:b w:val="0"/>
                <w:bCs w:val="0"/>
                <w:color w:val="000000"/>
                <w:sz w:val="28"/>
                <w:szCs w:val="28"/>
              </w:rPr>
              <w:t>农</w:t>
            </w:r>
            <w:r>
              <w:rPr>
                <w:rFonts w:hint="eastAsia" w:ascii="仿宋_GB2312" w:hAnsi="仿宋_GB2312" w:eastAsia="仿宋_GB2312" w:cs="仿宋_GB2312"/>
                <w:b w:val="0"/>
                <w:bCs w:val="0"/>
                <w:color w:val="000000"/>
                <w:sz w:val="28"/>
                <w:szCs w:val="28"/>
              </w:rPr>
              <w:t>园的真实地块、作物与会员体系为落地场景，打通"种什么（四季种植日历）→ 怎么种（农事指导）→ 种得怎样（用户反馈与数据闭环）→ 怎么推广并自己活下去（市场推广+独立运营）"的完整链路，把一块认养菜地升级为"有游戏、有社区、会自己运营"的数字产品。</w:t>
            </w:r>
          </w:p>
        </w:tc>
      </w:tr>
      <w:tr w14:paraId="007B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4A4CCE19">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rPr>
              <w:t>作品要求</w:t>
            </w:r>
          </w:p>
          <w:p w14:paraId="434B8D06">
            <w:pPr>
              <w:keepNext w:val="0"/>
              <w:keepLines w:val="0"/>
              <w:pageBreakBefore w:val="0"/>
              <w:numPr>
                <w:ilvl w:val="0"/>
                <w:numId w:val="4"/>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完成可演示的小程序/App 原型，具有完整成套的系统功能</w:t>
            </w:r>
            <w:r>
              <w:rPr>
                <w:rFonts w:hint="default" w:ascii="仿宋_GB2312" w:hAnsi="仿宋_GB2312" w:eastAsia="仿宋_GB2312" w:cs="仿宋_GB2312"/>
                <w:b w:val="0"/>
                <w:bCs w:val="0"/>
                <w:sz w:val="28"/>
                <w:szCs w:val="28"/>
                <w:lang w:eastAsia="zh-CN"/>
              </w:rPr>
              <w:t>；</w:t>
            </w:r>
          </w:p>
          <w:p w14:paraId="719AFF42">
            <w:pPr>
              <w:keepNext w:val="0"/>
              <w:keepLines w:val="0"/>
              <w:pageBreakBefore w:val="0"/>
              <w:numPr>
                <w:ilvl w:val="0"/>
                <w:numId w:val="4"/>
              </w:numPr>
              <w:kinsoku/>
              <w:wordWrap/>
              <w:overflowPunct/>
              <w:topLinePunct w:val="0"/>
              <w:autoSpaceDE/>
              <w:autoSpaceDN/>
              <w:bidi w:val="0"/>
              <w:adjustRightInd/>
              <w:snapToGrid/>
              <w:spacing w:line="560" w:lineRule="exact"/>
              <w:jc w:val="left"/>
              <w:textAlignment w:val="auto"/>
              <w:rPr>
                <w:rFonts w:hint="default"/>
                <w:b w:val="0"/>
                <w:bCs w:val="0"/>
                <w:sz w:val="28"/>
                <w:szCs w:val="28"/>
                <w:lang w:val="en-US" w:eastAsia="zh-CN"/>
              </w:rPr>
            </w:pPr>
            <w:r>
              <w:rPr>
                <w:rFonts w:hint="eastAsia" w:ascii="仿宋_GB2312" w:hAnsi="仿宋_GB2312" w:eastAsia="仿宋_GB2312" w:cs="仿宋_GB2312"/>
                <w:b w:val="0"/>
                <w:bCs w:val="0"/>
                <w:sz w:val="28"/>
                <w:szCs w:val="28"/>
                <w:lang w:val="en-US" w:eastAsia="zh-CN"/>
              </w:rPr>
              <w:t>增加游戏化互动：知识内容与玩法深度融合</w:t>
            </w:r>
            <w:r>
              <w:rPr>
                <w:rFonts w:hint="eastAsia"/>
                <w:b w:val="0"/>
                <w:bCs w:val="0"/>
                <w:sz w:val="28"/>
                <w:szCs w:val="28"/>
                <w:lang w:val="en-US" w:eastAsia="zh-CN"/>
              </w:rPr>
              <w:t>；</w:t>
            </w:r>
          </w:p>
          <w:p w14:paraId="675886B5">
            <w:pPr>
              <w:pStyle w:val="11"/>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highlight w:val="yellow"/>
              </w:rPr>
            </w:pPr>
            <w:r>
              <w:rPr>
                <w:rFonts w:hint="eastAsia" w:ascii="仿宋_GB2312" w:hAnsi="仿宋_GB2312" w:eastAsia="仿宋_GB2312" w:cs="仿宋_GB2312"/>
                <w:b w:val="0"/>
                <w:bCs w:val="0"/>
                <w:color w:val="000000"/>
                <w:sz w:val="28"/>
                <w:szCs w:val="28"/>
                <w:lang w:val="en-US" w:eastAsia="zh-CN"/>
              </w:rPr>
              <w:t>3</w:t>
            </w:r>
            <w:r>
              <w:rPr>
                <w:rFonts w:hint="eastAsia" w:ascii="仿宋_GB2312" w:hAnsi="仿宋_GB2312" w:eastAsia="仿宋_GB2312" w:cs="仿宋_GB2312"/>
                <w:b w:val="0"/>
                <w:bCs w:val="0"/>
                <w:color w:val="000000"/>
                <w:sz w:val="28"/>
                <w:szCs w:val="28"/>
              </w:rPr>
              <w:t>.提交产品设计文档（Word）+ 交互原型/演示视频（PPT或录屏），说明目标用户、核心循环、知识嵌入机制与运营推广思路</w:t>
            </w:r>
            <w:r>
              <w:rPr>
                <w:rFonts w:hint="eastAsia" w:ascii="仿宋_GB2312" w:hAnsi="仿宋_GB2312" w:eastAsia="仿宋_GB2312" w:cs="仿宋_GB2312"/>
                <w:b w:val="0"/>
                <w:bCs w:val="0"/>
                <w:color w:val="000000"/>
                <w:sz w:val="28"/>
                <w:szCs w:val="28"/>
                <w:highlight w:val="none"/>
              </w:rPr>
              <w:t>；</w:t>
            </w:r>
          </w:p>
          <w:p w14:paraId="236B3D8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b w:val="0"/>
                <w:bCs w:val="0"/>
                <w:lang w:val="en-US" w:eastAsia="zh-CN"/>
              </w:rPr>
            </w:pPr>
          </w:p>
        </w:tc>
      </w:tr>
      <w:tr w14:paraId="1396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tcMar>
              <w:top w:w="80" w:type="dxa"/>
              <w:left w:w="120" w:type="dxa"/>
              <w:bottom w:w="80" w:type="dxa"/>
              <w:right w:w="120" w:type="dxa"/>
            </w:tcMar>
          </w:tcPr>
          <w:p w14:paraId="5F1B69D9">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企业可提供资源、激励及落地支持：</w:t>
            </w:r>
          </w:p>
          <w:p w14:paraId="6BF31ECF">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eastAsia="zh-CN"/>
              </w:rPr>
              <w:t>1. 提供市民农园真实运营资料：地块规格（50㎡/80㎡）、租价、托管模式、现有种苗/肥料/农具服务体系、作物种植体系等</w:t>
            </w:r>
            <w:r>
              <w:rPr>
                <w:rFonts w:hint="default" w:ascii="仿宋_GB2312" w:hAnsi="仿宋_GB2312" w:eastAsia="仿宋_GB2312" w:cs="仿宋_GB2312"/>
                <w:b w:val="0"/>
                <w:bCs w:val="0"/>
                <w:color w:val="000000"/>
                <w:sz w:val="28"/>
                <w:szCs w:val="28"/>
                <w:lang w:eastAsia="zh-CN"/>
              </w:rPr>
              <w:t>；</w:t>
            </w:r>
          </w:p>
          <w:p w14:paraId="1F64D8C8">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eastAsia="zh-CN"/>
              </w:rPr>
              <w:t>2. 提供四季适种作物、种植日历、农技专家资源用于校准作物数据；</w:t>
            </w:r>
          </w:p>
          <w:p w14:paraId="41D2DFEE">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eastAsia="zh-CN"/>
              </w:rPr>
              <w:t>3. 提供市民菜园/园区实地调研与认养体验机会，可对接现有会员做用户访谈与反馈需求调研；</w:t>
            </w:r>
          </w:p>
          <w:p w14:paraId="3037501B">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b/>
                <w:bCs/>
                <w:color w:val="000000"/>
                <w:sz w:val="28"/>
                <w:szCs w:val="28"/>
                <w:lang w:eastAsia="zh-CN"/>
              </w:rPr>
            </w:pPr>
            <w:r>
              <w:rPr>
                <w:rFonts w:hint="eastAsia" w:ascii="仿宋_GB2312" w:hAnsi="仿宋_GB2312" w:eastAsia="仿宋_GB2312" w:cs="仿宋_GB2312"/>
                <w:b w:val="0"/>
                <w:bCs w:val="0"/>
                <w:color w:val="000000"/>
                <w:sz w:val="28"/>
                <w:szCs w:val="28"/>
                <w:lang w:eastAsia="zh-CN"/>
              </w:rPr>
              <w:t>5. 安排专人全程对接答疑</w:t>
            </w:r>
            <w:r>
              <w:rPr>
                <w:rFonts w:hint="default" w:ascii="仿宋_GB2312" w:hAnsi="仿宋_GB2312" w:eastAsia="仿宋_GB2312" w:cs="仿宋_GB2312"/>
                <w:b w:val="0"/>
                <w:bCs w:val="0"/>
                <w:color w:val="000000"/>
                <w:sz w:val="28"/>
                <w:szCs w:val="28"/>
                <w:lang w:eastAsia="zh-CN"/>
              </w:rPr>
              <w:t>。</w:t>
            </w:r>
          </w:p>
        </w:tc>
      </w:tr>
    </w:tbl>
    <w:p w14:paraId="59E5F35E">
      <w:pPr>
        <w:keepNext w:val="0"/>
        <w:keepLines w:val="0"/>
        <w:pageBreakBefore w:val="0"/>
        <w:kinsoku/>
        <w:wordWrap/>
        <w:overflowPunct/>
        <w:topLinePunct w:val="0"/>
        <w:autoSpaceDE/>
        <w:autoSpaceDN/>
        <w:bidi w:val="0"/>
        <w:adjustRightInd/>
        <w:snapToGrid/>
        <w:spacing w:line="560" w:lineRule="exact"/>
        <w:textAlignment w:val="auto"/>
      </w:pPr>
    </w:p>
    <w:p w14:paraId="5CFA6FDC">
      <w:pPr>
        <w:pStyle w:val="8"/>
      </w:pPr>
    </w:p>
    <w:p w14:paraId="560E4967">
      <w:pPr>
        <w:pStyle w:val="8"/>
      </w:pPr>
    </w:p>
    <w:p w14:paraId="547BA0DB">
      <w:pPr>
        <w:pStyle w:val="8"/>
      </w:pPr>
    </w:p>
    <w:p w14:paraId="79CCA07B">
      <w:pPr>
        <w:pStyle w:val="8"/>
      </w:pPr>
    </w:p>
    <w:p w14:paraId="0413B682">
      <w:pPr>
        <w:pStyle w:val="8"/>
      </w:pPr>
    </w:p>
    <w:p w14:paraId="5BF5BB43">
      <w:pPr>
        <w:pStyle w:val="2"/>
        <w:keepNext w:val="0"/>
        <w:keepLines w:val="0"/>
        <w:pageBreakBefore/>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选题</w:t>
      </w:r>
      <w:r>
        <w:rPr>
          <w:rFonts w:hint="eastAsia" w:ascii="方正小标宋简体" w:hAnsi="方正小标宋简体" w:eastAsia="方正小标宋简体" w:cs="方正小标宋简体"/>
          <w:b w:val="0"/>
          <w:bCs w:val="0"/>
          <w:color w:val="000000"/>
          <w:sz w:val="44"/>
          <w:szCs w:val="44"/>
          <w:lang w:val="en-US" w:eastAsia="zh-CN"/>
        </w:rPr>
        <w:t>09</w:t>
      </w:r>
      <w:r>
        <w:rPr>
          <w:rFonts w:hint="eastAsia" w:ascii="方正小标宋简体" w:hAnsi="方正小标宋简体" w:eastAsia="方正小标宋简体" w:cs="方正小标宋简体"/>
          <w:b w:val="0"/>
          <w:bCs w:val="0"/>
          <w:color w:val="000000"/>
          <w:sz w:val="44"/>
          <w:szCs w:val="44"/>
        </w:rPr>
        <w:t>　社区稳定供应链蔬菜（农产品）模式开发</w:t>
      </w:r>
    </w:p>
    <w:p w14:paraId="72D79715">
      <w:pPr>
        <w:rPr>
          <w:rFonts w:hint="eastAsia"/>
        </w:rPr>
      </w:pPr>
    </w:p>
    <w:p w14:paraId="2E79475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一、单位信息</w:t>
      </w:r>
    </w:p>
    <w:tbl>
      <w:tblPr>
        <w:tblStyle w:val="9"/>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8"/>
        <w:gridCol w:w="246"/>
        <w:gridCol w:w="2354"/>
        <w:gridCol w:w="2354"/>
        <w:gridCol w:w="2357"/>
      </w:tblGrid>
      <w:tr w14:paraId="7240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57F7DEFC">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单位名称</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top"/>
          </w:tcPr>
          <w:p w14:paraId="700CF611">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北京上庄蔬艺科技有限公司</w:t>
            </w:r>
          </w:p>
        </w:tc>
      </w:tr>
      <w:tr w14:paraId="0D2D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1775FA3D">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地址</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top"/>
          </w:tcPr>
          <w:p w14:paraId="79D4EB23">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北京市海淀区上庄镇</w:t>
            </w:r>
            <w:r>
              <w:rPr>
                <w:rFonts w:hint="eastAsia" w:ascii="仿宋_GB2312" w:eastAsia="仿宋_GB2312" w:cs="Times New Roman"/>
                <w:b w:val="0"/>
                <w:i w:val="0"/>
                <w:strike w:val="0"/>
                <w:color w:val="auto"/>
                <w:kern w:val="0"/>
                <w:sz w:val="28"/>
                <w:szCs w:val="28"/>
                <w:u w:val="none"/>
                <w:lang w:val="en-US" w:eastAsia="zh-CN" w:bidi="ar-SA"/>
              </w:rPr>
              <w:t>皂甲屯村南一路蔬艺园</w:t>
            </w:r>
          </w:p>
        </w:tc>
      </w:tr>
      <w:tr w14:paraId="1FF3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19" w:type="dxa"/>
            <w:gridSpan w:val="5"/>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6C34DC87">
            <w:pPr>
              <w:spacing w:before="20" w:after="20" w:line="300" w:lineRule="auto"/>
              <w:jc w:val="left"/>
            </w:pPr>
            <w:r>
              <w:rPr>
                <w:rFonts w:hint="eastAsia" w:ascii="仿宋_GB2312" w:hAnsi="Calibri" w:eastAsia="仿宋_GB2312" w:cs="Times New Roman"/>
                <w:b/>
                <w:bCs/>
                <w:i w:val="0"/>
                <w:strike w:val="0"/>
                <w:color w:val="auto"/>
                <w:kern w:val="0"/>
                <w:sz w:val="28"/>
                <w:szCs w:val="28"/>
                <w:u w:val="none"/>
                <w:lang w:val="en-US" w:eastAsia="zh-CN" w:bidi="ar-SA"/>
              </w:rPr>
              <w:t>企业简介：</w:t>
            </w:r>
            <w:r>
              <w:rPr>
                <w:rFonts w:ascii="仿宋_GB2312" w:hAnsi="Calibri" w:eastAsia="仿宋_GB2312" w:cs="Times New Roman"/>
                <w:b w:val="0"/>
                <w:i w:val="0"/>
                <w:strike w:val="0"/>
                <w:color w:val="auto"/>
                <w:kern w:val="0"/>
                <w:sz w:val="28"/>
                <w:szCs w:val="28"/>
                <w:u w:val="none"/>
                <w:lang w:val="en-US" w:eastAsia="zh-CN" w:bidi="ar-SA"/>
              </w:rPr>
              <w:t>北京上庄蔬艺科技有限公司位于海淀区上庄镇，紧邻故宫北院，区位文旅优势显著。园区总占地214.28亩，配备标准化温室与春秋棚设施，拥有成熟有机蔬菜种植体系。企业融合现代农业生产、技术推广、田园休闲体验与亲子研学服务，深耕都市农文旅融合赛道，具备完善的场地资源与科普教育条件，是海淀区现代化都市农业示范园区，也是本次大赛核心出题与试点落地单位。</w:t>
            </w:r>
          </w:p>
        </w:tc>
      </w:tr>
      <w:tr w14:paraId="010E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354"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276EF676">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联系人：</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2A783FEA">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eastAsia="仿宋_GB2312" w:cs="Times New Roman"/>
                <w:b w:val="0"/>
                <w:bCs w:val="0"/>
                <w:i w:val="0"/>
                <w:strike w:val="0"/>
                <w:color w:val="auto"/>
                <w:kern w:val="0"/>
                <w:sz w:val="28"/>
                <w:szCs w:val="28"/>
                <w:u w:val="none"/>
                <w:lang w:val="en-US" w:eastAsia="zh-CN" w:bidi="ar-SA"/>
              </w:rPr>
              <w:t>陈学红</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689481C3">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联系方式：</w:t>
            </w:r>
          </w:p>
        </w:tc>
        <w:tc>
          <w:tcPr>
            <w:tcW w:w="2357"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36A19776">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eastAsia="仿宋_GB2312" w:cs="Times New Roman"/>
                <w:b w:val="0"/>
                <w:bCs w:val="0"/>
                <w:i w:val="0"/>
                <w:strike w:val="0"/>
                <w:color w:val="auto"/>
                <w:kern w:val="0"/>
                <w:sz w:val="28"/>
                <w:szCs w:val="28"/>
                <w:u w:val="none"/>
                <w:lang w:val="en-US" w:eastAsia="zh-CN" w:bidi="ar-SA"/>
              </w:rPr>
              <w:t>13717514988</w:t>
            </w:r>
          </w:p>
        </w:tc>
      </w:tr>
    </w:tbl>
    <w:p w14:paraId="6A6867D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二、选题说明</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160"/>
      </w:tblGrid>
      <w:tr w14:paraId="55CA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75F0C9EA">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选题题目</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top"/>
          </w:tcPr>
          <w:p w14:paraId="54E487EA">
            <w:pPr>
              <w:spacing w:before="20" w:after="20" w:line="300" w:lineRule="auto"/>
              <w:ind w:firstLine="560" w:firstLineChars="200"/>
              <w:jc w:val="both"/>
              <w:rPr>
                <w:rFonts w:hint="eastAsia" w:ascii="仿宋_GB2312" w:hAnsi="仿宋_GB2312" w:eastAsia="仿宋_GB2312" w:cs="仿宋_GB2312"/>
                <w:b w:val="0"/>
                <w:i w:val="0"/>
                <w:strike w:val="0"/>
                <w:color w:val="auto"/>
                <w:kern w:val="0"/>
                <w:sz w:val="28"/>
                <w:szCs w:val="28"/>
                <w:u w:val="none"/>
                <w:lang w:val="en-US" w:eastAsia="zh-CN" w:bidi="ar-SA"/>
              </w:rPr>
            </w:pPr>
            <w:r>
              <w:rPr>
                <w:rFonts w:hint="eastAsia" w:ascii="仿宋_GB2312" w:hAnsi="仿宋_GB2312" w:eastAsia="仿宋_GB2312" w:cs="仿宋_GB2312"/>
                <w:b w:val="0"/>
                <w:i w:val="0"/>
                <w:strike w:val="0"/>
                <w:color w:val="auto"/>
                <w:kern w:val="0"/>
                <w:sz w:val="28"/>
                <w:szCs w:val="28"/>
                <w:u w:val="none"/>
                <w:lang w:val="en-US" w:eastAsia="zh-CN" w:bidi="ar-SA"/>
              </w:rPr>
              <w:t>社区稳定供应链蔬菜（农产品）模式开发</w:t>
            </w:r>
          </w:p>
        </w:tc>
      </w:tr>
      <w:tr w14:paraId="05C7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69647EA0">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行业领域</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top"/>
          </w:tcPr>
          <w:p w14:paraId="09C4470F">
            <w:pPr>
              <w:spacing w:before="20" w:after="20" w:line="300" w:lineRule="auto"/>
              <w:jc w:val="both"/>
              <w:rPr>
                <w:rFonts w:hint="eastAsia" w:ascii="仿宋_GB2312" w:hAnsi="仿宋_GB2312" w:eastAsia="仿宋_GB2312" w:cs="仿宋_GB2312"/>
                <w:b w:val="0"/>
                <w:i w:val="0"/>
                <w:strike w:val="0"/>
                <w:color w:val="auto"/>
                <w:kern w:val="0"/>
                <w:sz w:val="28"/>
                <w:szCs w:val="28"/>
                <w:u w:val="none"/>
                <w:lang w:val="en-US" w:eastAsia="zh-CN" w:bidi="ar-SA"/>
              </w:rPr>
            </w:pPr>
            <w:r>
              <w:rPr>
                <w:rFonts w:hint="eastAsia" w:ascii="仿宋_GB2312" w:hAnsi="仿宋_GB2312" w:eastAsia="仿宋_GB2312" w:cs="仿宋_GB2312"/>
                <w:b w:val="0"/>
                <w:i w:val="0"/>
                <w:strike w:val="0"/>
                <w:color w:val="auto"/>
                <w:kern w:val="0"/>
                <w:sz w:val="28"/>
                <w:szCs w:val="28"/>
                <w:u w:val="none"/>
                <w:lang w:val="en-US" w:eastAsia="zh-CN" w:bidi="ar-SA"/>
              </w:rPr>
              <w:t>设施有机农业、农产品供应链、会员运营、订单调节、农产销售、风险对冲</w:t>
            </w:r>
          </w:p>
        </w:tc>
      </w:tr>
      <w:tr w14:paraId="7A16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748C264B">
            <w:pPr>
              <w:spacing w:before="20" w:after="20" w:line="300" w:lineRule="auto"/>
              <w:jc w:val="left"/>
              <w:rPr>
                <w:rFonts w:hint="eastAsia" w:ascii="仿宋_GB2312" w:hAnsi="仿宋_GB2312" w:eastAsia="仿宋_GB2312" w:cs="仿宋_GB2312"/>
                <w:b/>
                <w:bCs/>
                <w:i w:val="0"/>
                <w:strike w:val="0"/>
                <w:color w:val="auto"/>
                <w:kern w:val="0"/>
                <w:sz w:val="28"/>
                <w:szCs w:val="28"/>
                <w:u w:val="none"/>
                <w:lang w:val="en-US" w:eastAsia="zh-CN" w:bidi="ar-SA"/>
              </w:rPr>
            </w:pPr>
            <w:r>
              <w:rPr>
                <w:rFonts w:hint="eastAsia" w:ascii="仿宋_GB2312" w:hAnsi="仿宋_GB2312" w:eastAsia="仿宋_GB2312" w:cs="仿宋_GB2312"/>
                <w:b/>
                <w:bCs/>
                <w:i w:val="0"/>
                <w:strike w:val="0"/>
                <w:color w:val="auto"/>
                <w:kern w:val="0"/>
                <w:sz w:val="28"/>
                <w:szCs w:val="28"/>
                <w:u w:val="none"/>
                <w:lang w:val="en-US" w:eastAsia="zh-CN" w:bidi="ar-SA"/>
              </w:rPr>
              <w:t>题目介绍</w:t>
            </w:r>
          </w:p>
          <w:p w14:paraId="7D32C13B">
            <w:pPr>
              <w:spacing w:before="20" w:after="20" w:line="30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b w:val="0"/>
                <w:i w:val="0"/>
                <w:strike w:val="0"/>
                <w:color w:val="auto"/>
                <w:kern w:val="0"/>
                <w:sz w:val="28"/>
                <w:szCs w:val="28"/>
                <w:u w:val="none"/>
                <w:lang w:val="en-US" w:eastAsia="zh-CN" w:bidi="ar-SA"/>
              </w:rPr>
              <w:t>北京上庄蔬艺科技有限公司拥有自有有机蔬菜种植基地，具备稳定的农产品产出能力，但面向城市社区终端供货时，供应链存在多重现实矛盾：基地端产出存在季节波动，社区端居民消费需求分散、订单波动大；社区端对农产品稳定性、性价比、新鲜度、配送时效均有较高要求；传统模式下，基地与社区之间缺少适配的中间衔接机制，容易出现两种问题：一是基地产出高峰期，社区消化能力有限，农产品积压损耗；二是基地产出淡季，社区订单需求无法充分满足，供货不稳定。</w:t>
            </w:r>
            <w:r>
              <w:rPr>
                <w:rFonts w:hint="eastAsia" w:ascii="仿宋_GB2312" w:hAnsi="仿宋_GB2312" w:eastAsia="仿宋_GB2312" w:cs="仿宋_GB2312"/>
                <w:b w:val="0"/>
                <w:i w:val="0"/>
                <w:strike w:val="0"/>
                <w:color w:val="auto"/>
                <w:kern w:val="0"/>
                <w:sz w:val="28"/>
                <w:szCs w:val="28"/>
                <w:u w:val="none"/>
                <w:lang w:val="en-US" w:eastAsia="zh-CN" w:bidi="ar-SA"/>
              </w:rPr>
              <w:br w:type="textWrapping"/>
            </w:r>
            <w:r>
              <w:rPr>
                <w:rFonts w:hint="eastAsia" w:ascii="仿宋_GB2312" w:hAnsi="仿宋_GB2312" w:eastAsia="仿宋_GB2312" w:cs="仿宋_GB2312"/>
                <w:b w:val="0"/>
                <w:i w:val="0"/>
                <w:strike w:val="0"/>
                <w:color w:val="auto"/>
                <w:kern w:val="0"/>
                <w:sz w:val="28"/>
                <w:szCs w:val="28"/>
                <w:u w:val="none"/>
                <w:lang w:val="en-US" w:eastAsia="zh-CN" w:bidi="ar-SA"/>
              </w:rPr>
              <w:t>本课题不追求理想化的零损耗、完全精准匹配的供应链模型，尊重农业生产的自然波动与社区居民消费的随机性，重点解决两大核心现实场景：①基地供给偏弱阶段：如何联动周边产地资源、优化社区订单机制，保障社区基础供给稳定性，维护社区用户信任；②基地产出富余阶段：如何激活社区渠道承接能力，高效消化基地产出，减少农产品废弃损耗。构建一套适配社区场景的农产品稳定供应链模式，实现产地端弹性供货、社区端弹性承接、链路成本可控。</w:t>
            </w:r>
            <w:r>
              <w:rPr>
                <w:rFonts w:hint="eastAsia" w:ascii="仿宋_GB2312" w:hAnsi="仿宋_GB2312" w:eastAsia="仿宋_GB2312" w:cs="仿宋_GB2312"/>
                <w:b w:val="0"/>
                <w:i w:val="0"/>
                <w:strike w:val="0"/>
                <w:color w:val="auto"/>
                <w:kern w:val="0"/>
                <w:sz w:val="28"/>
                <w:szCs w:val="28"/>
                <w:u w:val="none"/>
                <w:lang w:val="en-US" w:eastAsia="zh-CN" w:bidi="ar-SA"/>
              </w:rPr>
              <w:br w:type="textWrapping"/>
            </w:r>
            <w:r>
              <w:rPr>
                <w:rFonts w:hint="eastAsia" w:ascii="仿宋_GB2312" w:hAnsi="仿宋_GB2312" w:eastAsia="仿宋_GB2312" w:cs="仿宋_GB2312"/>
                <w:b w:val="0"/>
                <w:i w:val="0"/>
                <w:strike w:val="0"/>
                <w:color w:val="auto"/>
                <w:kern w:val="0"/>
                <w:sz w:val="28"/>
                <w:szCs w:val="28"/>
                <w:u w:val="none"/>
                <w:lang w:val="en-US" w:eastAsia="zh-CN" w:bidi="ar-SA"/>
              </w:rPr>
              <w:t>核心脉络：正视农业生产波动与社区消费的不确定性；分供给不足、供给过剩两大场景开展供应链调度；产地供货与社区订单弹性适配，拒绝强绑定；搭建多元社区承接路径；建立社区用户认知与信任体系；实现供货稳定、用户留存、损耗可控、链路成本合理四重目标。现存痛点：1. 基地农产品产出受气候、物候影响存在明显季节波动，难以完全匹配社区动态变化的消费需求；2. 社区订单碎片化，单订单体量小，配送分拣履约成本偏高；3. 供给不足时社区断供、品类缺失，引发用户不满；供给过剩时社区承接能力不足，农产品积压损耗；4. 基地与社区之间缺少标准化信息传递、订单调度、应急处置流程；5. 社区用户对产地农产品认知不足，信任门槛高，预期与实际供货情况存在偏差。</w:t>
            </w:r>
          </w:p>
        </w:tc>
      </w:tr>
      <w:tr w14:paraId="5E08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486E4D27">
            <w:pPr>
              <w:spacing w:before="20" w:after="40" w:line="30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b/>
                <w:bCs/>
                <w:color w:val="000000"/>
                <w:sz w:val="28"/>
                <w:szCs w:val="28"/>
              </w:rPr>
              <w:t>作品要求</w:t>
            </w:r>
          </w:p>
          <w:p w14:paraId="13A08D97">
            <w:pPr>
              <w:spacing w:before="20" w:after="20" w:line="30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b w:val="0"/>
                <w:i w:val="0"/>
                <w:strike w:val="0"/>
                <w:color w:val="auto"/>
                <w:kern w:val="0"/>
                <w:sz w:val="28"/>
                <w:szCs w:val="28"/>
                <w:u w:val="none"/>
                <w:lang w:val="en-US" w:eastAsia="zh-CN" w:bidi="ar-SA"/>
              </w:rPr>
              <w:t>1. 立足基地农业生产现实条件，拒绝理想化产销完全绑定方案，针对供给不足、产出富余两大场景输出可落地的供应链运行策略；</w:t>
            </w:r>
            <w:r>
              <w:rPr>
                <w:rFonts w:hint="eastAsia" w:ascii="仿宋_GB2312" w:hAnsi="仿宋_GB2312" w:eastAsia="仿宋_GB2312" w:cs="仿宋_GB2312"/>
                <w:b w:val="0"/>
                <w:i w:val="0"/>
                <w:strike w:val="0"/>
                <w:color w:val="auto"/>
                <w:kern w:val="0"/>
                <w:sz w:val="28"/>
                <w:szCs w:val="28"/>
                <w:u w:val="none"/>
                <w:lang w:val="en-US" w:eastAsia="zh-CN" w:bidi="ar-SA"/>
              </w:rPr>
              <w:br w:type="textWrapping"/>
            </w:r>
            <w:r>
              <w:rPr>
                <w:rFonts w:hint="eastAsia" w:ascii="仿宋_GB2312" w:hAnsi="仿宋_GB2312" w:eastAsia="仿宋_GB2312" w:cs="仿宋_GB2312"/>
                <w:b w:val="0"/>
                <w:i w:val="0"/>
                <w:strike w:val="0"/>
                <w:color w:val="auto"/>
                <w:kern w:val="0"/>
                <w:sz w:val="28"/>
                <w:szCs w:val="28"/>
                <w:u w:val="none"/>
                <w:lang w:val="en-US" w:eastAsia="zh-CN" w:bidi="ar-SA"/>
              </w:rPr>
              <w:t> ①供给不足场景：开展供货缺口分级管控，社区用户预期引导，社区订单弹性调整，周边合规产地协同补供，社区产品套餐替换、组合调整机制，保障社区基础供货体验；</w:t>
            </w:r>
            <w:r>
              <w:rPr>
                <w:rFonts w:hint="eastAsia" w:ascii="仿宋_GB2312" w:hAnsi="仿宋_GB2312" w:eastAsia="仿宋_GB2312" w:cs="仿宋_GB2312"/>
                <w:b w:val="0"/>
                <w:i w:val="0"/>
                <w:strike w:val="0"/>
                <w:color w:val="auto"/>
                <w:kern w:val="0"/>
                <w:sz w:val="28"/>
                <w:szCs w:val="28"/>
                <w:u w:val="none"/>
                <w:lang w:val="en-US" w:eastAsia="zh-CN" w:bidi="ar-SA"/>
              </w:rPr>
              <w:br w:type="textWrapping"/>
            </w:r>
            <w:r>
              <w:rPr>
                <w:rFonts w:hint="eastAsia" w:ascii="仿宋_GB2312" w:hAnsi="仿宋_GB2312" w:eastAsia="仿宋_GB2312" w:cs="仿宋_GB2312"/>
                <w:b w:val="0"/>
                <w:i w:val="0"/>
                <w:strike w:val="0"/>
                <w:color w:val="auto"/>
                <w:kern w:val="0"/>
                <w:sz w:val="28"/>
                <w:szCs w:val="28"/>
                <w:u w:val="none"/>
                <w:lang w:val="en-US" w:eastAsia="zh-CN" w:bidi="ar-SA"/>
              </w:rPr>
              <w:t> ②产出富余场景：设计社区分级分流方案，包含社区套餐增量扩容、社区限时团、社区邻里互助分销、结合社区活动展销、简易初级加工转化、次级农产品资源化利用等多条消化路径；</w:t>
            </w:r>
            <w:r>
              <w:rPr>
                <w:rFonts w:hint="eastAsia" w:ascii="仿宋_GB2312" w:hAnsi="仿宋_GB2312" w:eastAsia="仿宋_GB2312" w:cs="仿宋_GB2312"/>
                <w:b w:val="0"/>
                <w:i w:val="0"/>
                <w:strike w:val="0"/>
                <w:color w:val="auto"/>
                <w:kern w:val="0"/>
                <w:sz w:val="28"/>
                <w:szCs w:val="28"/>
                <w:u w:val="none"/>
                <w:lang w:val="en-US" w:eastAsia="zh-CN" w:bidi="ar-SA"/>
              </w:rPr>
              <w:br w:type="textWrapping"/>
            </w:r>
            <w:r>
              <w:rPr>
                <w:rFonts w:hint="eastAsia" w:ascii="仿宋_GB2312" w:hAnsi="仿宋_GB2312" w:eastAsia="仿宋_GB2312" w:cs="仿宋_GB2312"/>
                <w:b w:val="0"/>
                <w:i w:val="0"/>
                <w:strike w:val="0"/>
                <w:color w:val="auto"/>
                <w:kern w:val="0"/>
                <w:sz w:val="28"/>
                <w:szCs w:val="28"/>
                <w:u w:val="none"/>
                <w:lang w:val="en-US" w:eastAsia="zh-CN" w:bidi="ar-SA"/>
              </w:rPr>
              <w:t>2. 社区用户运营与预期管理方案：面向社区普通居民、社区团长、社区团购客户，建立产地农产品 “产出随季节波动” 认知科普机制，设计社区弹性订单规则、售后处理机制，降低供应链错配带来的客诉、退单与用户流失；</w:t>
            </w:r>
            <w:r>
              <w:rPr>
                <w:rFonts w:hint="eastAsia" w:ascii="仿宋_GB2312" w:hAnsi="仿宋_GB2312" w:eastAsia="仿宋_GB2312" w:cs="仿宋_GB2312"/>
                <w:b w:val="0"/>
                <w:i w:val="0"/>
                <w:strike w:val="0"/>
                <w:color w:val="auto"/>
                <w:kern w:val="0"/>
                <w:sz w:val="28"/>
                <w:szCs w:val="28"/>
                <w:u w:val="none"/>
                <w:lang w:val="en-US" w:eastAsia="zh-CN" w:bidi="ar-SA"/>
              </w:rPr>
              <w:br w:type="textWrapping"/>
            </w:r>
            <w:r>
              <w:rPr>
                <w:rFonts w:hint="eastAsia" w:ascii="仿宋_GB2312" w:hAnsi="仿宋_GB2312" w:eastAsia="仿宋_GB2312" w:cs="仿宋_GB2312"/>
                <w:b w:val="0"/>
                <w:i w:val="0"/>
                <w:strike w:val="0"/>
                <w:color w:val="auto"/>
                <w:kern w:val="0"/>
                <w:sz w:val="28"/>
                <w:szCs w:val="28"/>
                <w:u w:val="none"/>
                <w:lang w:val="en-US" w:eastAsia="zh-CN" w:bidi="ar-SA"/>
              </w:rPr>
              <w:t>3. 渠道与履约弹性承接机制：区分社区常规供货渠道与社区应急分流渠道，明确不同渠道分别适配正常产出、供给短缺、产出富余爆量阶段，明确产品组合、定价策略、渠道启用时机、分拣配送履约规则；</w:t>
            </w:r>
            <w:r>
              <w:rPr>
                <w:rFonts w:hint="eastAsia" w:ascii="仿宋_GB2312" w:hAnsi="仿宋_GB2312" w:eastAsia="仿宋_GB2312" w:cs="仿宋_GB2312"/>
                <w:b w:val="0"/>
                <w:i w:val="0"/>
                <w:strike w:val="0"/>
                <w:color w:val="auto"/>
                <w:kern w:val="0"/>
                <w:sz w:val="28"/>
                <w:szCs w:val="28"/>
                <w:u w:val="none"/>
                <w:lang w:val="en-US" w:eastAsia="zh-CN" w:bidi="ar-SA"/>
              </w:rPr>
              <w:br w:type="textWrapping"/>
            </w:r>
            <w:r>
              <w:rPr>
                <w:rFonts w:hint="eastAsia" w:ascii="仿宋_GB2312" w:hAnsi="仿宋_GB2312" w:eastAsia="仿宋_GB2312" w:cs="仿宋_GB2312"/>
                <w:b w:val="0"/>
                <w:i w:val="0"/>
                <w:strike w:val="0"/>
                <w:color w:val="auto"/>
                <w:kern w:val="0"/>
                <w:sz w:val="28"/>
                <w:szCs w:val="28"/>
                <w:u w:val="none"/>
                <w:lang w:val="en-US" w:eastAsia="zh-CN" w:bidi="ar-SA"/>
              </w:rPr>
              <w:t>4. 供需预判与前置预案：基于基地物候气象、历史产出数据、社区历史消费数据，做趋势级供需预判（不要求精准到单斤），制定供货缺口预警、产出过剩预警的触发条件以及对应的前置处置动作；</w:t>
            </w:r>
            <w:r>
              <w:rPr>
                <w:rFonts w:hint="eastAsia" w:ascii="仿宋_GB2312" w:hAnsi="仿宋_GB2312" w:eastAsia="仿宋_GB2312" w:cs="仿宋_GB2312"/>
                <w:b w:val="0"/>
                <w:i w:val="0"/>
                <w:strike w:val="0"/>
                <w:color w:val="auto"/>
                <w:kern w:val="0"/>
                <w:sz w:val="28"/>
                <w:szCs w:val="28"/>
                <w:u w:val="none"/>
                <w:lang w:val="en-US" w:eastAsia="zh-CN" w:bidi="ar-SA"/>
              </w:rPr>
              <w:br w:type="textWrapping"/>
            </w:r>
            <w:r>
              <w:rPr>
                <w:rFonts w:hint="eastAsia" w:ascii="仿宋_GB2312" w:hAnsi="仿宋_GB2312" w:eastAsia="仿宋_GB2312" w:cs="仿宋_GB2312"/>
                <w:b w:val="0"/>
                <w:i w:val="0"/>
                <w:strike w:val="0"/>
                <w:color w:val="auto"/>
                <w:kern w:val="0"/>
                <w:sz w:val="28"/>
                <w:szCs w:val="28"/>
                <w:u w:val="none"/>
                <w:lang w:val="en-US" w:eastAsia="zh-CN" w:bidi="ar-SA"/>
              </w:rPr>
              <w:t>5. 可选配套简易数字化工具原型（小程序 / 表格化管理原型）：实现产出趋势预警、社区订单弹性调度、富余农产品登记分流、社区履约台账记录，不强制高精度产销绑定；</w:t>
            </w:r>
            <w:r>
              <w:rPr>
                <w:rFonts w:hint="eastAsia" w:ascii="仿宋_GB2312" w:hAnsi="仿宋_GB2312" w:eastAsia="仿宋_GB2312" w:cs="仿宋_GB2312"/>
                <w:b w:val="0"/>
                <w:i w:val="0"/>
                <w:strike w:val="0"/>
                <w:color w:val="auto"/>
                <w:kern w:val="0"/>
                <w:sz w:val="28"/>
                <w:szCs w:val="28"/>
                <w:u w:val="none"/>
                <w:lang w:val="en-US" w:eastAsia="zh-CN" w:bidi="ar-SA"/>
              </w:rPr>
              <w:br w:type="textWrapping"/>
            </w:r>
            <w:r>
              <w:rPr>
                <w:rFonts w:hint="eastAsia" w:ascii="仿宋_GB2312" w:hAnsi="仿宋_GB2312" w:eastAsia="仿宋_GB2312" w:cs="仿宋_GB2312"/>
                <w:b w:val="0"/>
                <w:i w:val="0"/>
                <w:strike w:val="0"/>
                <w:color w:val="auto"/>
                <w:kern w:val="0"/>
                <w:sz w:val="28"/>
                <w:szCs w:val="28"/>
                <w:u w:val="none"/>
                <w:lang w:val="en-US" w:eastAsia="zh-CN" w:bidi="ar-SA"/>
              </w:rPr>
              <w:t>6. 提交完整方案文本（Word）+ 策划 PPT；包含各场景完整处置流程、链路成本&amp;损耗测算、各类风险应对方案；若完成数字化原型，需要提供交互原型或者演示录屏。</w:t>
            </w:r>
          </w:p>
        </w:tc>
      </w:tr>
      <w:tr w14:paraId="331D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492A513E">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企业可提供资源、激励及落地支持：</w:t>
            </w:r>
          </w:p>
          <w:p w14:paraId="22F9B406">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1. 提供基地蔬菜等农产品品类、物候周期、有机认证资料、基地实拍素材、品牌标识授权；</w:t>
            </w:r>
          </w:p>
          <w:p w14:paraId="78F02FA1">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auto"/>
                <w:sz w:val="28"/>
                <w:szCs w:val="28"/>
              </w:rPr>
              <w:t>2. 提供基地实地调研，田间种植、采收分拣，可对接现有社区合作资源开展调研；</w:t>
            </w:r>
          </w:p>
        </w:tc>
      </w:tr>
    </w:tbl>
    <w:p w14:paraId="3D1573C9"/>
    <w:p w14:paraId="0797E42E">
      <w:pPr>
        <w:pStyle w:val="2"/>
        <w:keepNext w:val="0"/>
        <w:keepLines w:val="0"/>
        <w:pageBreakBefore/>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选题</w:t>
      </w:r>
      <w:r>
        <w:rPr>
          <w:rFonts w:hint="eastAsia" w:ascii="方正小标宋简体" w:hAnsi="方正小标宋简体" w:eastAsia="方正小标宋简体" w:cs="方正小标宋简体"/>
          <w:b w:val="0"/>
          <w:bCs w:val="0"/>
          <w:color w:val="000000"/>
          <w:sz w:val="44"/>
          <w:szCs w:val="44"/>
          <w:lang w:val="en-US" w:eastAsia="zh-CN"/>
        </w:rPr>
        <w:t xml:space="preserve">10   </w:t>
      </w:r>
      <w:r>
        <w:rPr>
          <w:rFonts w:hint="eastAsia" w:ascii="方正小标宋简体" w:hAnsi="方正小标宋简体" w:eastAsia="方正小标宋简体" w:cs="方正小标宋简体"/>
          <w:b w:val="0"/>
          <w:bCs w:val="0"/>
          <w:color w:val="000000"/>
          <w:sz w:val="44"/>
          <w:szCs w:val="44"/>
        </w:rPr>
        <w:t>芽菜苗及盆栽蔬菜开发及售卖</w:t>
      </w:r>
    </w:p>
    <w:p w14:paraId="26FD9CC8">
      <w:pPr>
        <w:rPr>
          <w:rFonts w:hint="eastAsia"/>
        </w:rPr>
      </w:pPr>
    </w:p>
    <w:p w14:paraId="4533E69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一、单位信息</w:t>
      </w:r>
    </w:p>
    <w:tbl>
      <w:tblPr>
        <w:tblStyle w:val="9"/>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108"/>
        <w:gridCol w:w="246"/>
        <w:gridCol w:w="2354"/>
        <w:gridCol w:w="2354"/>
        <w:gridCol w:w="2357"/>
      </w:tblGrid>
      <w:tr w14:paraId="0C56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4CB82451">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单位名称</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top"/>
          </w:tcPr>
          <w:p w14:paraId="3A7013FE">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北京上庄蔬艺科技有限公司</w:t>
            </w:r>
          </w:p>
        </w:tc>
      </w:tr>
      <w:tr w14:paraId="4398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08"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3085A84D">
            <w:pPr>
              <w:spacing w:before="20" w:after="60" w:line="300" w:lineRule="auto"/>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rPr>
              <w:t>地址</w:t>
            </w:r>
          </w:p>
        </w:tc>
        <w:tc>
          <w:tcPr>
            <w:tcW w:w="7311" w:type="dxa"/>
            <w:gridSpan w:val="4"/>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top"/>
          </w:tcPr>
          <w:p w14:paraId="3CBB8072">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北京市海淀区上庄镇</w:t>
            </w:r>
            <w:r>
              <w:rPr>
                <w:rFonts w:hint="eastAsia" w:ascii="仿宋_GB2312" w:eastAsia="仿宋_GB2312" w:cs="Times New Roman"/>
                <w:b w:val="0"/>
                <w:i w:val="0"/>
                <w:strike w:val="0"/>
                <w:color w:val="auto"/>
                <w:kern w:val="0"/>
                <w:sz w:val="28"/>
                <w:szCs w:val="28"/>
                <w:u w:val="none"/>
                <w:lang w:val="en-US" w:eastAsia="zh-CN" w:bidi="ar-SA"/>
              </w:rPr>
              <w:t>皂甲屯村南一路蔬艺园</w:t>
            </w:r>
          </w:p>
        </w:tc>
      </w:tr>
      <w:tr w14:paraId="4D9B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19" w:type="dxa"/>
            <w:gridSpan w:val="5"/>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7B1DAF8F">
            <w:pPr>
              <w:spacing w:before="20" w:after="20" w:line="300" w:lineRule="auto"/>
              <w:jc w:val="left"/>
            </w:pPr>
            <w:r>
              <w:rPr>
                <w:rFonts w:hint="eastAsia" w:ascii="仿宋_GB2312" w:hAnsi="Calibri" w:eastAsia="仿宋_GB2312" w:cs="Times New Roman"/>
                <w:b/>
                <w:bCs/>
                <w:i w:val="0"/>
                <w:strike w:val="0"/>
                <w:color w:val="auto"/>
                <w:kern w:val="0"/>
                <w:sz w:val="28"/>
                <w:szCs w:val="28"/>
                <w:u w:val="none"/>
                <w:lang w:val="en-US" w:eastAsia="zh-CN" w:bidi="ar-SA"/>
              </w:rPr>
              <w:t>企业简介：</w:t>
            </w:r>
            <w:r>
              <w:rPr>
                <w:rFonts w:ascii="仿宋_GB2312" w:hAnsi="Calibri" w:eastAsia="仿宋_GB2312" w:cs="Times New Roman"/>
                <w:b w:val="0"/>
                <w:i w:val="0"/>
                <w:strike w:val="0"/>
                <w:color w:val="auto"/>
                <w:kern w:val="0"/>
                <w:sz w:val="28"/>
                <w:szCs w:val="28"/>
                <w:u w:val="none"/>
                <w:lang w:val="en-US" w:eastAsia="zh-CN" w:bidi="ar-SA"/>
              </w:rPr>
              <w:t>北京上庄蔬艺科技有限公司位于海淀区上庄镇，紧邻故宫北院，区位文旅优势显著。园区总占地214.28亩，配备标准化温室与春秋棚设施，拥有成熟有机蔬菜种植体系。企业融合现代农业生产、技术推广、田园休闲体验与亲子研学服务，深耕都市农文旅融合赛道，具备完善的场地资源与科普教育条件，是海淀区现代化都市农业示范园区，也是本次大赛核心出题与试点落地单位。</w:t>
            </w:r>
          </w:p>
        </w:tc>
      </w:tr>
      <w:tr w14:paraId="7342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354"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249C5D74">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联系人：</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42BF84FC">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eastAsia="仿宋_GB2312" w:cs="Times New Roman"/>
                <w:b w:val="0"/>
                <w:bCs w:val="0"/>
                <w:i w:val="0"/>
                <w:strike w:val="0"/>
                <w:color w:val="auto"/>
                <w:kern w:val="0"/>
                <w:sz w:val="28"/>
                <w:szCs w:val="28"/>
                <w:u w:val="none"/>
                <w:lang w:val="en-US" w:eastAsia="zh-CN" w:bidi="ar-SA"/>
              </w:rPr>
              <w:t>陈学红</w:t>
            </w:r>
          </w:p>
        </w:tc>
        <w:tc>
          <w:tcPr>
            <w:tcW w:w="2354"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50FA7763">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hAnsi="Calibri" w:eastAsia="仿宋_GB2312" w:cs="Times New Roman"/>
                <w:b w:val="0"/>
                <w:bCs w:val="0"/>
                <w:i w:val="0"/>
                <w:strike w:val="0"/>
                <w:color w:val="auto"/>
                <w:kern w:val="0"/>
                <w:sz w:val="28"/>
                <w:szCs w:val="28"/>
                <w:u w:val="none"/>
                <w:lang w:val="en-US" w:eastAsia="zh-CN" w:bidi="ar-SA"/>
              </w:rPr>
              <w:t>联系方式：</w:t>
            </w:r>
          </w:p>
        </w:tc>
        <w:tc>
          <w:tcPr>
            <w:tcW w:w="2357" w:type="dxa"/>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0DED7079">
            <w:pPr>
              <w:spacing w:before="20" w:after="20" w:line="300" w:lineRule="auto"/>
              <w:jc w:val="center"/>
              <w:rPr>
                <w:rFonts w:hint="eastAsia" w:ascii="仿宋_GB2312" w:hAnsi="Calibri" w:eastAsia="仿宋_GB2312" w:cs="Times New Roman"/>
                <w:b w:val="0"/>
                <w:bCs w:val="0"/>
                <w:i w:val="0"/>
                <w:strike w:val="0"/>
                <w:color w:val="auto"/>
                <w:kern w:val="0"/>
                <w:sz w:val="28"/>
                <w:szCs w:val="28"/>
                <w:u w:val="none"/>
                <w:lang w:val="en-US" w:eastAsia="zh-CN" w:bidi="ar-SA"/>
              </w:rPr>
            </w:pPr>
            <w:r>
              <w:rPr>
                <w:rFonts w:hint="eastAsia" w:ascii="仿宋_GB2312" w:eastAsia="仿宋_GB2312" w:cs="Times New Roman"/>
                <w:b w:val="0"/>
                <w:bCs w:val="0"/>
                <w:i w:val="0"/>
                <w:strike w:val="0"/>
                <w:color w:val="auto"/>
                <w:kern w:val="0"/>
                <w:sz w:val="28"/>
                <w:szCs w:val="28"/>
                <w:u w:val="none"/>
                <w:lang w:val="en-US" w:eastAsia="zh-CN" w:bidi="ar-SA"/>
              </w:rPr>
              <w:t>13717514988</w:t>
            </w:r>
          </w:p>
        </w:tc>
      </w:tr>
    </w:tbl>
    <w:p w14:paraId="0E12C20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kern w:val="0"/>
          <w:sz w:val="32"/>
          <w:szCs w:val="32"/>
          <w:u w:val="none"/>
          <w:lang w:val="en-US" w:eastAsia="zh-CN" w:bidi="ar"/>
        </w:rPr>
      </w:pPr>
      <w:r>
        <w:rPr>
          <w:rFonts w:hint="eastAsia" w:ascii="黑体" w:hAnsi="黑体" w:eastAsia="黑体" w:cs="黑体"/>
          <w:b w:val="0"/>
          <w:bCs/>
          <w:kern w:val="0"/>
          <w:sz w:val="32"/>
          <w:szCs w:val="32"/>
          <w:u w:val="none"/>
          <w:lang w:val="en-US" w:eastAsia="zh-CN" w:bidi="ar"/>
        </w:rPr>
        <w:t>二、选题说明</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7160"/>
      </w:tblGrid>
      <w:tr w14:paraId="7775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756A7DF0">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选题题目</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top"/>
          </w:tcPr>
          <w:p w14:paraId="0E331118">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仿宋_GB2312" w:hAnsi="Calibri" w:eastAsia="仿宋_GB2312" w:cs="Times New Roman"/>
                <w:b w:val="0"/>
                <w:i w:val="0"/>
                <w:strike w:val="0"/>
                <w:color w:val="auto"/>
                <w:kern w:val="0"/>
                <w:sz w:val="28"/>
                <w:szCs w:val="28"/>
                <w:u w:val="none"/>
                <w:lang w:val="en-US" w:eastAsia="zh-CN" w:bidi="ar-SA"/>
              </w:rPr>
              <w:t>芽菜苗及盆栽蔬菜开发及售卖</w:t>
            </w:r>
          </w:p>
        </w:tc>
      </w:tr>
      <w:tr w14:paraId="6621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808080" w:sz="4" w:space="0"/>
              <w:left w:val="single" w:color="808080" w:sz="4" w:space="0"/>
              <w:bottom w:val="single" w:color="808080" w:sz="4" w:space="0"/>
              <w:right w:val="single" w:color="808080" w:sz="4" w:space="0"/>
            </w:tcBorders>
            <w:shd w:val="clear" w:color="auto" w:fill="DCE6F1"/>
            <w:noWrap w:val="0"/>
            <w:tcMar>
              <w:top w:w="60" w:type="dxa"/>
              <w:left w:w="120" w:type="dxa"/>
              <w:bottom w:w="60" w:type="dxa"/>
              <w:right w:w="120" w:type="dxa"/>
            </w:tcMar>
            <w:vAlign w:val="center"/>
          </w:tcPr>
          <w:p w14:paraId="5FE94453">
            <w:pPr>
              <w:spacing w:before="20" w:after="20" w:line="300" w:lineRule="auto"/>
              <w:jc w:val="left"/>
              <w:rPr>
                <w:rFonts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行业领域</w:t>
            </w:r>
          </w:p>
        </w:tc>
        <w:tc>
          <w:tcPr>
            <w:tcW w:w="7160" w:type="dxa"/>
            <w:tcBorders>
              <w:top w:val="single" w:color="808080" w:sz="4" w:space="0"/>
              <w:left w:val="single" w:color="808080" w:sz="4" w:space="0"/>
              <w:bottom w:val="single" w:color="808080" w:sz="4" w:space="0"/>
              <w:right w:val="single" w:color="808080" w:sz="4" w:space="0"/>
            </w:tcBorders>
            <w:noWrap w:val="0"/>
            <w:tcMar>
              <w:top w:w="60" w:type="dxa"/>
              <w:left w:w="120" w:type="dxa"/>
              <w:bottom w:w="60" w:type="dxa"/>
              <w:right w:w="120" w:type="dxa"/>
            </w:tcMar>
            <w:vAlign w:val="top"/>
          </w:tcPr>
          <w:p w14:paraId="2A0B1050">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ascii="仿宋_GB2312" w:hAnsi="Calibri" w:eastAsia="仿宋_GB2312" w:cs="Times New Roman"/>
                <w:b w:val="0"/>
                <w:i w:val="0"/>
                <w:strike w:val="0"/>
                <w:color w:val="auto"/>
                <w:kern w:val="0"/>
                <w:sz w:val="28"/>
                <w:szCs w:val="28"/>
                <w:u w:val="none"/>
                <w:lang w:val="en-US" w:eastAsia="zh-CN" w:bidi="ar-SA"/>
              </w:rPr>
              <w:t>农文旅融合、亲子研学、自然教育、劳动教育、课程研发、活动运营、文旅服务、品牌赋能</w:t>
            </w:r>
          </w:p>
        </w:tc>
      </w:tr>
      <w:tr w14:paraId="3F89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37FC010D">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题目介绍</w:t>
            </w:r>
          </w:p>
          <w:p w14:paraId="1930D318">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目前园区研学亲子业务存在课程体系单一、内容同质化严重、受众分层不清晰、体验流程固化、无标准化课程模块、复购与引流能力弱等经营痛点，多为浅层观光、简单采摘体验，缺乏系统化、阶梯化、主题化的深度研学课程，无法适配幼儿园、小学、亲子散客、团建定制等多元客群需求，农业资源与文化资源价值未充分挖掘，农文旅融合变现能力不足。</w:t>
            </w:r>
          </w:p>
          <w:p w14:paraId="266370F1">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本课题不追求大规模硬件改造，立足园区现有场地、种植、文化资源，聚焦分层化、主题化、标准化、常态化的研学亲子课程开发，尊重自然教育与劳动教育规律，贴合不同年龄段青少年认知特点与亲子家庭体验需求，重点解决两大核心问题：一是研学课程品类单一、内容浅显、缺乏体系；二是运营模式单一、客群覆盖窄、活动留存与变现能力弱。通过多梯度课程研发、场景化活动落地、标准化运营流程搭建、多元化渠道推广，打造适配全年龄段的农业亲子研学课程体系，实现园区资源活化、客流稳定、品牌增值、农文旅深度融合的核心目标。</w:t>
            </w:r>
          </w:p>
          <w:p w14:paraId="11D038B3">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核心脉络：深挖园区农业种植、农耕文化、京西稻非遗、都市园艺四大核心资源；按年龄、客群、场景搭建分层研学课程矩阵；标准化课程流程、师资配置、物料配套与安全规范；打造常态化散客课程+定制化团课双运营模式；通过课程差异化提升核心竞争力，解决课程同质化、体验浅层化、运营低效化问题。</w:t>
            </w:r>
          </w:p>
          <w:p w14:paraId="0E15D3A7">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现存痛点：1.研学亲子课程品类单一，无年龄段分层设计，大小客群通用一套课程，体验适配度低；2.课程内容以采摘、观光为主，缺乏科普、劳动、手工、文创结合的深度内容，教育价值薄弱；3.无标准化课程教案、流程、物料、安全预案，活动落地随机性强、体验参差不齐；4.缺少常态化课程体系，多为临时定制活动，无法稳定引流获客；5.课程增值服务缺失，无配套研学成果、文创产品、打卡体系，用户体验感与复购意愿低；6.客群运营薄弱，无精准引流、留存、转化机制，品牌影响力局限本地。</w:t>
            </w:r>
          </w:p>
        </w:tc>
      </w:tr>
      <w:tr w14:paraId="04D6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7AE20FA2">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作品要求</w:t>
            </w:r>
          </w:p>
          <w:p w14:paraId="273EF947">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1. 立足园区现有农业与文旅资源，不设计重资产改造方案，完成多元化、分层化研学亲子课程体系开发，搭建完整课程矩阵：</w:t>
            </w:r>
          </w:p>
          <w:p w14:paraId="375F816E">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①低龄幼儿组（3-6岁）：以趣味农耕认知、植物观察、简单手工体验为主，打造轻量化、趣味性亲子互动课程；</w:t>
            </w:r>
          </w:p>
          <w:p w14:paraId="0164B28C">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②少儿成长组（7-12岁）：结合劳动教育、农业科普、京西稻文化研学、蔬菜种植实践，打造沉浸式实践课程；</w:t>
            </w:r>
          </w:p>
          <w:p w14:paraId="282FDD71">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③青少年定制组（13-18岁）：依托有机种植、无土培育、农产品溯源、非遗文化传承，打造深度研学与科普实践课程；</w:t>
            </w:r>
          </w:p>
          <w:p w14:paraId="3FAA2904">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④亲子通用主题课：开发四季农耕、芽菜培育、盆栽园艺、稻作文化、自然手工等特色主题课程。</w:t>
            </w:r>
          </w:p>
          <w:p w14:paraId="6120626D">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2. 建立课程标准化体系：完成各学段课程教案、教学流程、物料清单、师资话术、时长配置、安全规范标准化设计，明确课程目标、教学内容、体验环节、成果输出，形成可复制、可落地的标准化课程库。</w:t>
            </w:r>
          </w:p>
          <w:p w14:paraId="44C3D787">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3. 搭建双模式运营体系：区分常态化散客亲子课程与学校、机构、企业定制团课，明确不同课程的开课周期、定价体系、预约规则、人数配比、落地流程，适配不同消费场景。</w:t>
            </w:r>
          </w:p>
          <w:p w14:paraId="297E30EB">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4. 客户运营与体验升级方案：设计研学打卡、成长手册、课程证书、农耕文创手作等增值内容；搭建亲子用户社群，开展课程上新、主题活动、节假日专场、老客回馈等运营动作，提升用户粘性与口碑传播；建立活动售后、意见收集、体验优化闭环机制。</w:t>
            </w:r>
          </w:p>
          <w:p w14:paraId="3E7A0A51">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5. 课程档期与客流预判：结合节假日、周末、学校研学档期、季节农耕特色，提前规划主题课程排期，制定淡旺季引流预案，解决淡季客流不足、旺季承接混乱的问题，实现客流与运营效率双稳定。</w:t>
            </w:r>
          </w:p>
          <w:p w14:paraId="494E38D7">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6. 可选配套简易数字化工具原型（小程序/表格化管理原型）：实现课程展示、线上预约、档期管理、客户信息留存、活动台账记录、课程数据复盘功能，适配轻量化课程运营需求。</w:t>
            </w:r>
          </w:p>
          <w:p w14:paraId="3808AD10">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7. 提交完整方案文本（Word）+策划PPT；包含课程矩阵、标准化教案体系、运营落地流程、定价方案、客流预案、成本收益测算、风险应对方案；若制作数字化原型，需提供交互原型或演示录屏。</w:t>
            </w:r>
          </w:p>
          <w:p w14:paraId="7DB9C2FF">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8. 成果须在大赛颁奖前提交并现场演示</w:t>
            </w:r>
            <w:r>
              <w:rPr>
                <w:rFonts w:ascii="仿宋_GB2312" w:hAnsi="Calibri" w:eastAsia="仿宋_GB2312" w:cs="Times New Roman"/>
                <w:b w:val="0"/>
                <w:i w:val="0"/>
                <w:strike w:val="0"/>
                <w:color w:val="auto"/>
                <w:kern w:val="0"/>
                <w:sz w:val="28"/>
                <w:szCs w:val="28"/>
                <w:u w:val="none"/>
                <w:lang w:val="en-US" w:eastAsia="zh-CN" w:bidi="ar-SA"/>
              </w:rPr>
              <w:t>。</w:t>
            </w:r>
          </w:p>
        </w:tc>
      </w:tr>
      <w:tr w14:paraId="05F0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360" w:type="dxa"/>
            <w:gridSpan w:val="2"/>
            <w:tcBorders>
              <w:top w:val="single" w:color="808080" w:sz="4" w:space="0"/>
              <w:left w:val="single" w:color="808080" w:sz="4" w:space="0"/>
              <w:bottom w:val="single" w:color="808080" w:sz="4" w:space="0"/>
              <w:right w:val="single" w:color="808080" w:sz="4" w:space="0"/>
            </w:tcBorders>
            <w:noWrap w:val="0"/>
            <w:tcMar>
              <w:top w:w="80" w:type="dxa"/>
              <w:left w:w="120" w:type="dxa"/>
              <w:bottom w:w="80" w:type="dxa"/>
              <w:right w:w="120" w:type="dxa"/>
            </w:tcMar>
            <w:vAlign w:val="top"/>
          </w:tcPr>
          <w:p w14:paraId="599F20FD">
            <w:pPr>
              <w:spacing w:before="20" w:after="20" w:line="300" w:lineRule="auto"/>
              <w:jc w:val="left"/>
              <w:rPr>
                <w:rFonts w:hint="eastAsia" w:ascii="仿宋_GB2312" w:hAnsi="Calibri" w:eastAsia="仿宋_GB2312" w:cs="Times New Roman"/>
                <w:b/>
                <w:bCs/>
                <w:i w:val="0"/>
                <w:strike w:val="0"/>
                <w:color w:val="auto"/>
                <w:kern w:val="0"/>
                <w:sz w:val="28"/>
                <w:szCs w:val="28"/>
                <w:u w:val="none"/>
                <w:lang w:val="en-US" w:eastAsia="zh-CN" w:bidi="ar-SA"/>
              </w:rPr>
            </w:pPr>
            <w:r>
              <w:rPr>
                <w:rFonts w:hint="eastAsia" w:ascii="仿宋_GB2312" w:hAnsi="Calibri" w:eastAsia="仿宋_GB2312" w:cs="Times New Roman"/>
                <w:b/>
                <w:bCs/>
                <w:i w:val="0"/>
                <w:strike w:val="0"/>
                <w:color w:val="auto"/>
                <w:kern w:val="0"/>
                <w:sz w:val="28"/>
                <w:szCs w:val="28"/>
                <w:u w:val="none"/>
                <w:lang w:val="en-US" w:eastAsia="zh-CN" w:bidi="ar-SA"/>
              </w:rPr>
              <w:t>企业可提供资源、激励及落地支持：</w:t>
            </w:r>
          </w:p>
          <w:p w14:paraId="3C9B5A02">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1. 提供园区种植场地、农耕设施、有机农业科普素材、园区实景素材及品牌授权；</w:t>
            </w:r>
          </w:p>
          <w:p w14:paraId="23227469">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2. 提供基地实地调研、场地观摩、课程试点落地条件，支持新课程、新活动模式测试优化；</w:t>
            </w:r>
          </w:p>
          <w:p w14:paraId="4B108691">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3. 企业园区运营、农业技术部门专人全程对接答疑，提供场地、物料、落地执行支持；</w:t>
            </w:r>
          </w:p>
          <w:p w14:paraId="47A99113">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4. 可对接现有学校、研学机构、亲子社群合作资源，支持课程推广与落地测试；</w:t>
            </w:r>
          </w:p>
          <w:p w14:paraId="08F86EB8">
            <w:pPr>
              <w:spacing w:before="20" w:after="20" w:line="300" w:lineRule="auto"/>
              <w:jc w:val="left"/>
              <w:rPr>
                <w:rFonts w:hint="eastAsia" w:ascii="仿宋_GB2312" w:hAnsi="Calibri" w:eastAsia="仿宋_GB2312" w:cs="Times New Roman"/>
                <w:b w:val="0"/>
                <w:i w:val="0"/>
                <w:strike w:val="0"/>
                <w:color w:val="auto"/>
                <w:kern w:val="0"/>
                <w:sz w:val="28"/>
                <w:szCs w:val="28"/>
                <w:u w:val="none"/>
                <w:lang w:val="en-US" w:eastAsia="zh-CN" w:bidi="ar-SA"/>
              </w:rPr>
            </w:pPr>
            <w:r>
              <w:rPr>
                <w:rFonts w:hint="eastAsia" w:ascii="仿宋_GB2312" w:hAnsi="Calibri" w:eastAsia="仿宋_GB2312" w:cs="Times New Roman"/>
                <w:b w:val="0"/>
                <w:i w:val="0"/>
                <w:strike w:val="0"/>
                <w:color w:val="auto"/>
                <w:kern w:val="0"/>
                <w:sz w:val="28"/>
                <w:szCs w:val="28"/>
                <w:u w:val="none"/>
                <w:lang w:val="en-US" w:eastAsia="zh-CN" w:bidi="ar-SA"/>
              </w:rPr>
              <w:t>5. 优秀获奖方案可在园区全面落地试点，纳入常态化研学亲子业务体系，长期迭代运营。</w:t>
            </w:r>
          </w:p>
        </w:tc>
      </w:tr>
    </w:tbl>
    <w:p w14:paraId="3092E6BB">
      <w:pPr>
        <w:pStyle w:val="8"/>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291D00-F2BA-45C4-8F00-785699E6FF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475D608-F4C7-48C0-8B5A-1F4796E8A498}"/>
  </w:font>
  <w:font w:name="思源黑体">
    <w:altName w:val="黑体"/>
    <w:panose1 w:val="020B0500000000000000"/>
    <w:charset w:val="86"/>
    <w:family w:val="auto"/>
    <w:pitch w:val="default"/>
    <w:sig w:usb0="00000000" w:usb1="00000000" w:usb2="00000016" w:usb3="00000000" w:csb0="602E0107" w:csb1="00000000"/>
    <w:embedRegular r:id="rId3" w:fontKey="{0DEC17DA-D38E-49F8-9738-41BDCD4E4C5F}"/>
  </w:font>
  <w:font w:name="方正黑体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embedRegular r:id="rId4" w:fontKey="{9CE7BD8C-9E5F-4272-B5E1-8F8E76CCC8B7}"/>
  </w:font>
  <w:font w:name="方正仿宋_GBK">
    <w:altName w:val="微软雅黑"/>
    <w:panose1 w:val="02000000000000000000"/>
    <w:charset w:val="86"/>
    <w:family w:val="auto"/>
    <w:pitch w:val="default"/>
    <w:sig w:usb0="00000000" w:usb1="00000000" w:usb2="00000000" w:usb3="00000000" w:csb0="00040000" w:csb1="00000000"/>
  </w:font>
  <w:font w:name="方正公文小标宋">
    <w:altName w:val="宋体"/>
    <w:panose1 w:val="02000500000000000000"/>
    <w:charset w:val="86"/>
    <w:family w:val="auto"/>
    <w:pitch w:val="default"/>
    <w:sig w:usb0="00000000" w:usb1="00000000" w:usb2="00000016" w:usb3="00000000" w:csb0="00040001" w:csb1="00000000"/>
    <w:embedRegular r:id="rId5" w:fontKey="{6E88D026-17B4-44CC-848E-F6CE232BAF27}"/>
  </w:font>
  <w:font w:name="方正小标宋简体">
    <w:altName w:val="方正舒体"/>
    <w:panose1 w:val="02000000000000000000"/>
    <w:charset w:val="86"/>
    <w:family w:val="auto"/>
    <w:pitch w:val="default"/>
    <w:sig w:usb0="00000000" w:usb1="00000000" w:usb2="00000012" w:usb3="00000000" w:csb0="00040001" w:csb1="00000000"/>
    <w:embedRegular r:id="rId6" w:fontKey="{EA15836A-3E4B-468D-BE36-BD513E5FFA96}"/>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5506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101F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F9101F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FE9CE1"/>
    <w:multiLevelType w:val="singleLevel"/>
    <w:tmpl w:val="BDFE9CE1"/>
    <w:lvl w:ilvl="0" w:tentative="0">
      <w:start w:val="1"/>
      <w:numFmt w:val="decimal"/>
      <w:lvlText w:val="%1."/>
      <w:lvlJc w:val="left"/>
      <w:pPr>
        <w:tabs>
          <w:tab w:val="left" w:pos="312"/>
        </w:tabs>
      </w:pPr>
    </w:lvl>
  </w:abstractNum>
  <w:abstractNum w:abstractNumId="1">
    <w:nsid w:val="E5FF22E9"/>
    <w:multiLevelType w:val="singleLevel"/>
    <w:tmpl w:val="E5FF22E9"/>
    <w:lvl w:ilvl="0" w:tentative="0">
      <w:start w:val="1"/>
      <w:numFmt w:val="decimal"/>
      <w:lvlText w:val="%1."/>
      <w:lvlJc w:val="left"/>
      <w:pPr>
        <w:tabs>
          <w:tab w:val="left" w:pos="312"/>
        </w:tabs>
      </w:pPr>
    </w:lvl>
  </w:abstractNum>
  <w:abstractNum w:abstractNumId="2">
    <w:nsid w:val="20842848"/>
    <w:multiLevelType w:val="singleLevel"/>
    <w:tmpl w:val="20842848"/>
    <w:lvl w:ilvl="0" w:tentative="0">
      <w:start w:val="1"/>
      <w:numFmt w:val="decimal"/>
      <w:suff w:val="nothing"/>
      <w:lvlText w:val="%1、"/>
      <w:lvlJc w:val="left"/>
    </w:lvl>
  </w:abstractNum>
  <w:abstractNum w:abstractNumId="3">
    <w:nsid w:val="4D4DF8C0"/>
    <w:multiLevelType w:val="singleLevel"/>
    <w:tmpl w:val="4D4DF8C0"/>
    <w:lvl w:ilvl="0" w:tentative="0">
      <w:start w:val="2"/>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056665"/>
    <w:rsid w:val="00ED3BD8"/>
    <w:rsid w:val="080B7C90"/>
    <w:rsid w:val="0A8E1F88"/>
    <w:rsid w:val="1545351F"/>
    <w:rsid w:val="1AA13ABF"/>
    <w:rsid w:val="1C555E3F"/>
    <w:rsid w:val="1D174D78"/>
    <w:rsid w:val="262D6C2F"/>
    <w:rsid w:val="2A5C2A5B"/>
    <w:rsid w:val="2AEFFC68"/>
    <w:rsid w:val="2DC67690"/>
    <w:rsid w:val="33466B9F"/>
    <w:rsid w:val="35BE7316"/>
    <w:rsid w:val="35CD57AB"/>
    <w:rsid w:val="39B53BA3"/>
    <w:rsid w:val="3C153CA2"/>
    <w:rsid w:val="473D3B00"/>
    <w:rsid w:val="496B7702"/>
    <w:rsid w:val="58694CC2"/>
    <w:rsid w:val="5AE72492"/>
    <w:rsid w:val="5B597015"/>
    <w:rsid w:val="5D395697"/>
    <w:rsid w:val="5F2F93A2"/>
    <w:rsid w:val="5FFFEB89"/>
    <w:rsid w:val="6E296D1B"/>
    <w:rsid w:val="6ED32FEF"/>
    <w:rsid w:val="70F5F822"/>
    <w:rsid w:val="79056665"/>
    <w:rsid w:val="7EDFDEF4"/>
    <w:rsid w:val="AEBF393F"/>
    <w:rsid w:val="D4E9E8E3"/>
    <w:rsid w:val="E9BFC395"/>
    <w:rsid w:val="F73B758A"/>
    <w:rsid w:val="F7BB1147"/>
    <w:rsid w:val="F7EAC8AF"/>
    <w:rsid w:val="FBEFD1F9"/>
    <w:rsid w:val="FE6B2199"/>
    <w:rsid w:val="FFBE578A"/>
    <w:rsid w:val="FFFF4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unhideWhenUsed/>
    <w:qFormat/>
    <w:uiPriority w:val="99"/>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4"/>
    <w:qFormat/>
    <w:uiPriority w:val="0"/>
    <w:pPr>
      <w:ind w:firstLine="420" w:firstLineChars="100"/>
    </w:pPr>
  </w:style>
  <w:style w:type="paragraph" w:styleId="11">
    <w:name w:val="List Paragraph"/>
    <w:qFormat/>
    <w:uiPriority w:val="0"/>
    <w:rPr>
      <w:rFonts w:ascii="Times New Roman" w:hAnsi="Times New Roman" w:eastAsia="思源黑体" w:cs="Times New Roman"/>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492</Words>
  <Characters>510</Characters>
  <Lines>0</Lines>
  <Paragraphs>0</Paragraphs>
  <TotalTime>3</TotalTime>
  <ScaleCrop>false</ScaleCrop>
  <LinksUpToDate>false</LinksUpToDate>
  <CharactersWithSpaces>510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2026-09-09T18:30:00Z</dcterms:created>
  <dc:creator>大大大大大龙猫</dc:creator>
  <cp:lastModifiedBy>魔丝</cp:lastModifiedBy>
  <dcterms:modified xsi:type="dcterms:W3CDTF">2026-09-11T10:44:54Z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DBF90BC7F7C84A3BBD0FF9BF0B704715_13</vt:lpwstr>
  </property>
  <property fmtid="{D5CDD505-2E9C-101B-9397-08002B2CF9AE}" pid="4" name="KSOTemplateDocerSaveRecord">
    <vt:lpwstr>eyJoZGlkIjoiZDExMWYzZDUyYWNlN2ZhNTliMmE1NmUzMmI1NDI0NDQiLCJ1c2VySWQiOiIyNTc4MzgxODYifQ==</vt:lpwstr>
  </property>
</Properties>
</file>